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Data Processing Addendum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Data Processing Addendum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DPA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forms part of the electronic agreement for the purchase of the Vendor Service as identified in such agreement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Principal Agreement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between: (i) Quality Unit, s.r.o., Vajnorská 100/A, 83104 Bratislava, Slovakia (European Union)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Processor”)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(ii)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insert your company legal name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address]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Data Controller and Vendor are each a “Party” and collectively, the “Parties”.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 as modified below, the terms of the Principal Agreement shall remain in full force and effect.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consideration of the mutual obligations set out herein, the parties hereby agree that: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terms and conditions set out below shall be added as an addendum to the Principal Agreement.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 where the context requires otherwise, references in this DPA to the Principal Agreement are to the Principal Agreement as amended by, and including, this DPA.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DEFINITIONS AND INTERPRETATION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this DPA, the following terms shall have the meanings set out below and cognate terms shall be construed accordingly: Company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GDPR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EU General Data Protection Regulation 2016/679;</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terms,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Commission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Controller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Member State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Personal Data Breach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Supervisory Authority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shall have the same meaning as in the GDPR, and their cognate terms shall be construed accordingly;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 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any Personal Data Processed by a Processor on behalf of Data Controller pursuant to or in connection with the Principal Agreement;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Standard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Contractual Clauses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European Commission’s Implementing Decision of 4 June 2021 on standard contractual clauses for the transfer of personal data to processors established in third countries pursuant to Regulation (EU) 2016/679 of the European Parliament and of the Council;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Subprocessor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any person appointed by or on behalf of Vendor to Process Personal Data on behalf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connection with the Principal Agreement; and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International Organisation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an organisation and its subordinate bodies governed by public international law, or any other body which is set up by, or on the basis of, an agreement between two or more countries (see Article 4(26) of the GDPR);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‘Appropriate Safeguards’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such legally enforceable mechanism(s) for transfers of Personal Data as may be permitted under the applicable data protection laws from time to time.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include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shall be construed to mean include without limitation, and cognate terms shall be construed accordingly.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vzx0gpp3sf4r"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Capitalized terms not otherwise defined herein shall have the meaning given to them in the Principal Agreement.</w:t>
        <w:br w:type="textWrapping"/>
        <w:br w:type="textWrapping"/>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PROCESSING OF </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PERSONAL DATA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vsqhm2ti9hxv" w:id="1"/>
      <w:bookmarkEnd w:id="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Role of the Parties.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Parties acknowledge and agree that with regard to the Processing of Personal Data,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the Controller, Vendor is the Processor and that Vendor will only engage Subprocessors pursuant to the requirements set out in Clause 5 Subprocessors below.</w:t>
      </w: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Controller’s Processing of 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Data Controller shall, in its use of the Services and instructions to Vendor:</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comply with all applicable data protection laws in the Processing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and</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sole responsibility for the accuracy, quality and legality of Personal Data and the means by which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acquired Personal Data. </w:t>
      </w:r>
    </w:p>
    <w:p w:rsidR="00000000" w:rsidDel="00000000" w:rsidP="00000000" w:rsidRDefault="00000000" w:rsidRPr="00000000" w14:paraId="0000001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Vendor’s Processing of 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comply with all applicable data protection laws in the Processing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and shall not by any act or omission cause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any other person) to be in breach of any applicable data protection laws; and</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treat Personal Data as Confidential Information; and</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and shall ensure each person acting under its authority shall Process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only on the relevant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documented instructions unless Processing is required by applicable laws to which the relevant Processor is subject, in which case Vendor shall to the extent permitted by applicable laws inform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that legal requirement before the relevant Processing of that Personal Data, and</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immediately inform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writing if, in the Vendor’s opinion, a Processing instruction infringes the applicable data protection laws or any other applicable laws relating to data protection and explain the reasons for its opinion, provided that this shall be without prejudice to clause 2.3.a). </w:t>
      </w:r>
    </w:p>
    <w:p w:rsidR="00000000" w:rsidDel="00000000" w:rsidP="00000000" w:rsidRDefault="00000000" w:rsidRPr="00000000" w14:paraId="0000001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7j0zxd7usrhn" w:id="2"/>
      <w:bookmarkEnd w:id="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Purposes of Processing.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instructs Vendor (and authorises Vendor to instruct each Subprocessor) to Process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for the provision of the Services and consistent with the Principal Agreement;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ql7cy6d6jind" w:id="3"/>
      <w:bookmarkEnd w:id="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Details of the Processing.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Annex 1 to this DPA sets out certain information regarding the Processors' Processing of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required by article 28(3) of the GDPR (and, possibly, equivalent requirements of other applicable data protection laws).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heading=h.5e1wmog44vlq" w:id="4"/>
      <w:bookmarkEnd w:id="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 RIGHTS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mqhjepb49b9m" w:id="5"/>
      <w:bookmarkEnd w:id="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 Request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to the extent legally permitted, promptly (and in any event no later than 2 working days within the receipt of the request) notify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if Vendor or Vendor’s Subprocessor receives a request from a Data Subject to exercise the Data Subject’s right of access, right to rectification, restriction of Processing, erasure (“right to be forgotten”), data portability, object to the Processing, or its right not to be subject to an automated individual decision making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 Request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 Assistance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Taking into account the nature of the Processing, Vendor shall assist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implementing appropriate technical and organisational measures, insofar as this is possible, for the fulfilment of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obligations, as reasonably understood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respond to requests to exercise Data Subject rights under the applicable data protection laws. In addition, to the extent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its use of the Services, does not have the ability to address a Data Subject Request, Vendor shall, at its cost and expense, and upon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request provide commercially reasonable efforts to assist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responding to such Data Subject Request, to the extent Vendor is legally permitted to do so and the response to such Data Subject Request is required under applicable data protection laws. In any event, Vendor shall not respond to any Data Subject Request without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prior written approval.</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 PERSONNEL</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10zeuv3c2ufo" w:id="6"/>
      <w:bookmarkEnd w:id="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Confidentiality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ensure that its personnel engaged in the Processing of Personal Data are informed of the confidential nature of the Personal Data, have received appropriate training on their responsibilities and have executed written confidentiality agreements. Vendor shall ensure that confidentiality obligations regarding Personal Data survive the termination of the personnel engagement.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Reliability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take commercially reasonable steps to ensure the reliability of any Vendor personnel and Vendor Subprocessor personnel who may have access to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7c4e535xk68h" w:id="7"/>
      <w:bookmarkEnd w:id="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Limitation of access.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ensure in each case that access is strictly limited to those individuals who need to know / access the relevant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strictly necessary for the purposes of the Principal Agreement, and to comply with applicable laws in the context of that individual's duties to Vendor.</w:t>
        <w:br w:type="textWrapping"/>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heading=h.atmhi1jbyv98" w:id="8"/>
      <w:bookmarkEnd w:id="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SUBPROCESSING</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ewpha1f9efwk" w:id="9"/>
      <w:bookmarkEnd w:id="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Appointment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authorises Vendor to appoint (and permit each Subprocessor appointed in accordance with this Clause 4 to appoint) Subprocessors in connection with the Services and in accordance with this Clause 5 and any restrictions in the Principal Agreement.</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753jhvy4u3sw" w:id="10"/>
      <w:bookmarkEnd w:id="1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Current Subprocessors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make available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current list of Subprocessors for the Services, including the identities of those Subprocessors and their country of location in Annex 3. Vendor may continue to use those Subprocessors already engaged by Vendor as at the date of this DPA, subject to Vendor in each case as soon as practicable meeting the obligations set out in this Clause 4. Current list of subprocessors is available on www.ladesk.com/gdpr</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New Subprocessors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give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prior written notice of the appointment of any new or replacement Subprocessor, including full details of the Processing to be undertaken by the Subprocessor. If, within 10 days of receipt of that notice,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notifies Vendor in writing of any objections (on reasonable grounds) to the proposed appointment: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9jy0qqrj9io" w:id="11"/>
      <w:bookmarkEnd w:id="1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work with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good faith to make available a commercially reasonable change in the provision of the Services which avoids the use of that proposed Subprocessor; and where such a change cannot be made within 30 days from Vendor's receipt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notice, notwithstanding anything in the Principal Agreement,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by written notice to Vendor with immediate effect terminate the Principal Agreement to the extent that it relates to the Services which require the use of the proposed Subprocessor.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heading=h.kap84hfwnl1p" w:id="12"/>
      <w:bookmarkEnd w:id="1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gxh68vjop2g3" w:id="13"/>
      <w:bookmarkEnd w:id="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Taking into account the state of the art, the costs of implementation and the nature, scope, context and purposes of Processing as well as the risk of varying likelihood and severity for the rights and freedoms of natural persons, Vendor shall, at its cost and expense, in relation to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implement appropriate technical and organizational measures to ensure a level of security appropriate to that risk, including, as appropriate, the measures referred to in the applicable data protection laws, especially Article 32 of the GDPR. In assessing the appropriate level of security, Vendor shall take account in particular of the risks that are presented by Processing, in particular from a Personal Data Breach.</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These measures should entail physical, logical and data access control as well as data transfer, instruction, entry, availability and separation control. Vendor shall upon request provide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an overview of all such measures.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agrees and warrants that it has implemented the technical and organisational security measures specified in Annex 2 before processing the personal data transferred.</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will not materially decrease the overall security of the Services during a subscription term.</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PERSONAL DATA BREACH</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ia259oulux70" w:id="14"/>
      <w:bookmarkEnd w:id="1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notify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without undue delay but in any event no later than 36 hours after Vendor or any Subprocessor becomes aware of a Personal Data Breach affecting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providing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sufficient information to allow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meet its obligations to report or inform Data Subjects of the Personal Data Breach under the applicable data protection laws.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Such notification shall as a minimum:</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nature of the Personal Data Breach, the categories and numbers of Data Subjects concerned, and the categories and numbers of Personal Data records concerned;</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communicate the name and contact details of Vendor's data protection officer or other relevant contact from whom more information may be obtained;</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likely consequences of the Personal Data Breach; and</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measures taken or proposed to be taken to address the Personal Data Breach.</w:t>
      </w:r>
    </w:p>
    <w:p w:rsidR="00000000" w:rsidDel="00000000" w:rsidP="00000000" w:rsidRDefault="00000000" w:rsidRPr="00000000" w14:paraId="0000003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s0u86wjkd34w" w:id="15"/>
      <w:bookmarkEnd w:id="1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at its cost and expense, co-operate with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take such reasonable commercial steps as are directed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assist in the investigation, mitigation and remediation of each such Personal Data Breach.</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4k9p2hlyujvf" w:id="16"/>
      <w:bookmarkEnd w:id="16"/>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RECORDS, INFORMATION AND AUDIT</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make available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on request in a timely manner and in any event within 3 working days copies of complete, accurate and up to date written records of all categories of Processing activities carried out on behalf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containing such information as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reasonably requires to demonstrate Vendor’s and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compliance with their respective obligations under applicable data protection laws and this DPA.</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upon reasonable notice and at no cost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allow for and contribute to audits, for the purpose of demonstrating compliance by Vendor and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their respective obligations under applicable data protection laws and under this DPA. Especially, Vendor shall provide and procure reasonable access (where practicable, during normal business hours) to information, documentation, facilities, equipment, premises and sites relating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and/or the records referred to in clause 7.1, and to Vendor Personnel.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promptly resolve, at its own cost and expense, all data protection and security issues discovered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reported to Vendor that reveal a breach or potential breach by Vendor of its obligations under this DPA.</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Vendor is in breach of its obligations under this DPA,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suspend the transfer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to Vendor until the breach is remedied.</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shall be entitled to share any notification, details, records or information provided by or on behalf of Vendor under this DPA with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its professional advisors and/or the Supervisory Authority.</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heading=h.9bk5d2uaohmd" w:id="17"/>
      <w:bookmarkEnd w:id="1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DELETION OR RETURN OF </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PERSONAL DATA</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v64ogtws0sj0" w:id="18"/>
      <w:bookmarkEnd w:id="1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(and shall ensure that all persons acting on its behalf and all Vendor Personnel shall) without delay and in any event within 5 business days, at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written request, either certifiably delete or destroy in a secure and definite/irreversible manner or securely return all originals, copies, reproductions and summaries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Processed by Vendor and its Subprocessors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such form as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reasonably requests after the earlier of:</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7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end of the provision of the relevant Services related to Processing of such Personal Data; or </w:t>
      </w:r>
    </w:p>
    <w:p w:rsidR="00000000" w:rsidDel="00000000" w:rsidP="00000000" w:rsidRDefault="00000000" w:rsidRPr="00000000" w14:paraId="000000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107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 Processing by the Supplier of any Personal Data is no longer required for the purpose of the Supplier’s performance of its relevant obligations under this Agreement,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1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certifiably delete or destroy in a secure and definite/irreversible manner existing copies (unless storage of any data is required by applicable law and, if so, Vendor shall inform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any such requirement). </w:t>
      </w:r>
    </w:p>
    <w:p w:rsidR="00000000" w:rsidDel="00000000" w:rsidP="00000000" w:rsidRDefault="00000000" w:rsidRPr="00000000" w14:paraId="000000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INDEMNITY</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cso3gmge3z3b" w:id="19"/>
      <w:bookmarkEnd w:id="1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agrees to indemnify and keep indemnified, and defend at its own expense,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against claims, damages or expenses incurred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for which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become liable due to any failure by the Vendor or its employees or agents to comply with any of its obligations under this DPA. Liability is limited to the amount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average monthly payment for the Services.</w:t>
        <w:br w:type="textWrapping"/>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TRANSFER MECHANISMS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absence of an adequacy decision,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may only be transferred to a third country or an International Organisation outside the EEA where there are Appropriate Safeguards. Such transfer (and any onward transfer) shall:</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9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 pursuant to a written contract, including equivalent obligations on the Subprocessor in respect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apply to Vendor under this DPA;</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9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effected by way of Appropriate Safeguards and, where practicable, the form of these shall be subject to Company’s prior written approval;</w:t>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149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otherwise complies with applicable data protection laws.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GENERAL TERMS</w:t>
      </w:r>
    </w:p>
    <w:p w:rsidR="00000000" w:rsidDel="00000000" w:rsidP="00000000" w:rsidRDefault="00000000" w:rsidRPr="00000000" w14:paraId="000000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Warranty as to Authority</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person signing this DPA hereby represents and warrants that he or she has full authority to execute this Agreement for the Party on whose behalf he or she is signing.</w:t>
        <w:br w:type="textWrapping"/>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heading=h.9ybihvbhs8jk" w:id="20"/>
      <w:bookmarkEnd w:id="2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Governing Law and Jurisdiction</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ustqibns31g9" w:id="21"/>
      <w:bookmarkEnd w:id="2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Without prejudice to clauses 7 (Mediation and Jurisdiction) and 9 (Governing Law) of the Standard Contractual Clauses: the Parties to this DPA hereby submit to Slovak courts, including disputes regarding its existence, validity or termination or the consequences of its nullity; and this DPA and all non-contractual or other obligations arising out of or in connection with it are governed by the laws of Slovakia.</w:t>
      </w:r>
      <w:r w:rsidDel="00000000" w:rsidR="00000000" w:rsidRPr="00000000">
        <w:rPr>
          <w:rFonts w:ascii="Arial" w:cs="Arial" w:eastAsia="Arial" w:hAnsi="Arial"/>
          <w:b w:val="0"/>
          <w:i w:val="1"/>
          <w:smallCaps w:val="0"/>
          <w:strike w:val="0"/>
          <w:color w:val="000000"/>
          <w:sz w:val="20"/>
          <w:szCs w:val="20"/>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Order Of Precedence</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69a19tzhkd0" w:id="22"/>
      <w:bookmarkEnd w:id="2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Nothing in this DPA reduces Vendor's obligations under the Principal Agreement in relation to the protection of Personal Data or permits Vendor to Process (or permit the Processing of) Personal Data in a manner which is prohibited by the Principal Agreement. In the event of any conflict or inconsistency between this DPA and the Standard Contractual Clauses, the Standard Contractual Clauses shall prevail.</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WITNESS WHEREOF, this DPA is entered into and becomes a binding part of the Principal Agreement with effect from the date first set out above, save for the provisions introduced by the GDPR that became effective from 25</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2018.</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Signature ______________________________</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_________________________________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__________________________________</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Signed ____________________________</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Quality Unit, s.r.o.</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Signature ______________________________</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Andrej Harsani</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CEO</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Signed ____________________________</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ANNEX 1: DETAILS OF PROCESSING OF </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PERSONAL DATA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Annex  includes certain details of the Processing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required by Article 28(3) GDPR.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Subject matter and duration of the Processing of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Personal Data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subject matter and duration of the Processing of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are set out in the Principal Agreement and this DPA. The duration of the processing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equals the duration of use of the Service.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nature and purpose of the Processing of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Personal Data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customer services related to the Service.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types of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Personal Data to be Processed</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Account owner - Name, Email, IP Address, Cookies, Logs, Payment information, Additional information collected by Data controller stored in their account.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Employees - Name, Email, IP Address, Cookies, Logs, Additional information collected by Data controller stored in their account.</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End users of the Services - Name, Email, IP Address, Cookies, Additional information collected by Data controller stored in their account.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categories of Data Subject to whom the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Personal Data relates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Account owner, Employees, End users of the Services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43"/>
        </w:tabs>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obligations and rights of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obligations and rights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are set out in the Principal Agreement and this DPA.</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ANNEX 2: TECHNICAL AND ORGANISATIONAL SECURITY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Vulnerability Scans</w:t>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performs both external and internal vulnerability scans. External scans include looking for ways in which malicious outsiders can exploit the Vendor and the Service, and internal scans include looking for threats inside the organisation, such as the potential for privilege abuse.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Penetration Testing</w:t>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employs a professional penetration testing team which performs a controlled form of hacking in which they work on behalf of the Vendor, use the same techniques as a criminal hacker to search for vulnerabilities in the Service or other Vendor applications.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Audit</w:t>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is a subject to security audits performed by companies specialized in security audits for cloud software products.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Access Control Management </w:t>
      </w:r>
    </w:p>
    <w:p w:rsidR="00000000" w:rsidDel="00000000" w:rsidP="00000000" w:rsidRDefault="00000000" w:rsidRPr="00000000" w14:paraId="0000007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role-based access rights management is in place together with the implementation of procedures to maintain a need-to-have; need-to-know basis during provisioning. Ensure timely revocation of leaver’s accounts together with protecting all access to business information via secure log-on procedures.</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Access rights are approved prior to assignment and are reviewed periodically.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only authorized personnel has access to process the personal data of the Company. The access is limited via unique username, password and enabled 2FA.</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Entry control</w:t>
      </w:r>
    </w:p>
    <w:p w:rsidR="00000000" w:rsidDel="00000000" w:rsidP="00000000" w:rsidRDefault="00000000" w:rsidRPr="00000000" w14:paraId="0000008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only authorised persons are given access to the office premises of the Vendor. The access is granted on issuing and registering the access cards. The access cards are regularly evaluated and checked.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security of data centers is ensured via 24/7 manned security, CCTV video surveillance, multifactor identification and security breach alarms.</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Asset Management</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an asset inventory is in place for all assets, identifying owner and location of assets.</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Cryptography</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storage of sensitive information such as passwords of users is done by using strong hashing cryptographic primitives such as hashing with salted values. </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the transmission of client information is done via HTTPS using industry recommended protocols.</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Operational Security</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adequate backup, backup testing and restore procedures are in affect.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Information is backed up, and backups are regularly tested to ensure availability of Personal Data.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any information that is backed up and taken off site, is encrypted.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Incident Management</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proper information security incident management policies and procedures are in place detailing step-by-step processes on how incidents are dealt with, documented and communicated. </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proper classification guidelines are implemented to distinguish between incidents affecting availability of Personal Data and incidents affecting the confidentiality, integrity and availability of information.</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Communications Security</w:t>
      </w:r>
    </w:p>
    <w:p w:rsidR="00000000" w:rsidDel="00000000" w:rsidP="00000000" w:rsidRDefault="00000000" w:rsidRPr="00000000" w14:paraId="0000009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Transfer of Information is encrypted using secured HTTPS protocol.</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Maintain encryption (using industry recommended protocols and ciphers) during any Information transferred over the internal network, as well as any transmission of client information.</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Vulnerability Management</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both external and internal vulnerability scans are performed. External scans include looking for ways in which malicious outsiders can exploit the Vendor and the Service, and internal scans include looking for threats inside the organisation, such as the potential for privilege abuse.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a professional penetration testing team which performs a controlled form of hacking in which they work on behalf of the Vendor, use the same techniques as a criminal hacker to search for vulnerabilities in the Service or other Vendor applications.</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the Vendor is a subject to security audits performed by companies specialized in security audits for cloud software products.</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ANNEX 3: ADDITIONAL DETAILS REGARDING SUBPROCESSORS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Quality Unit, s.r.o. provides its Service (referred to here as "LiveAgent") to You through its web site located at *.ladesk.com (URL of your account). Quality Unit, s.r.o. uses certain subprocessors to assist it in providing the LiveAgent Service.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What is a Subprocessor</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subprocessor is a third party data processor engaged by LiveAgent, who has or potentially will have access to or process Service Data (which may contain Personal Data). LiveAgent uses various types of sub-processors to perform different functions as explained in the tables below.</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Due Diligence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LiveAgent undertakes to use a commercially reasonable selection process by which it evaluates the security, privacy and confidentiality practices of proposed subprocessors that will or may have access to or process Service Data.</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LiveAgent owns or controls access to the infrastructure that LiveAgent uses to host Service Data submitted to the Services, other than as set forth below. Currently, the LiveAgent production systems for the Services are located in co-location facilities in the United States and Europe.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accounts are established in one of these regions based on where the Customer is located; the Customer's Service Data subsequently remains in that region unless agreed between Customer and LiveAgent, but may be shifted among data centers within a region to ensure performance and availability of the Services. The following table describes the countries and legal entities engaged in the storage of Service Data by LiveAgent.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026.0" w:type="dxa"/>
        <w:jc w:val="left"/>
        <w:tblLayout w:type="fixed"/>
        <w:tblLook w:val="0600"/>
      </w:tblPr>
      <w:tblGrid>
        <w:gridCol w:w="3008"/>
        <w:gridCol w:w="3009"/>
        <w:gridCol w:w="3009"/>
        <w:tblGridChange w:id="0">
          <w:tblGrid>
            <w:gridCol w:w="3008"/>
            <w:gridCol w:w="3009"/>
            <w:gridCol w:w="300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Subcontracting company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center location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w:t>
            </w:r>
          </w:p>
        </w:tc>
      </w:tr>
      <w:tr>
        <w:trPr>
          <w:cantSplit w:val="0"/>
          <w:trHeight w:val="40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Client-specific subprocessors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Amazon Web Services, </w:t>
            </w:r>
            <w:r w:rsidDel="00000000" w:rsidR="00000000" w:rsidRPr="00000000">
              <w:rPr>
                <w:rFonts w:ascii="Arial" w:cs="Arial" w:eastAsia="Arial" w:hAnsi="Arial"/>
                <w:b w:val="1"/>
                <w:sz w:val="20"/>
                <w:szCs w:val="20"/>
                <w:rtl w:val="0"/>
              </w:rPr>
              <w:t xml:space="preserve">SÁRL</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Singapore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Infrastructure subprocessor – Servers</w:t>
              <w:br w:type="textWrapping"/>
              <w:t xml:space="preserve">Data center facilities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Amazon Web Services EMEA SARL</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widowControl w:val="0"/>
              <w:spacing w:after="0" w:line="240" w:lineRule="auto"/>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Singapore</w:t>
            </w: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Infrastructure subprocessor – Servers</w:t>
              <w:br w:type="textWrapping"/>
              <w:t xml:space="preserve">Data center facilities</w:t>
            </w:r>
          </w:p>
        </w:tc>
      </w:tr>
    </w:tb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026.0" w:type="dxa"/>
        <w:jc w:val="left"/>
        <w:tblLayout w:type="fixed"/>
        <w:tblLook w:val="0600"/>
      </w:tblPr>
      <w:tblGrid>
        <w:gridCol w:w="3008"/>
        <w:gridCol w:w="3009"/>
        <w:gridCol w:w="3009"/>
        <w:tblGridChange w:id="0">
          <w:tblGrid>
            <w:gridCol w:w="3008"/>
            <w:gridCol w:w="3009"/>
            <w:gridCol w:w="3009"/>
          </w:tblGrid>
        </w:tblGridChange>
      </w:tblGrid>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Vendor-specific subprocessors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Subcontracting company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Company location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Quality Unit, LLC</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United States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subprocessor - Services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Quality Unit, LLC is a Quality Unit member entity. Quality Unit, LLC functions as a subprocessor to provide the LiveAgent Service.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Quality Unit Ukraine, LLC</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Ukraine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subprocessor - Services</w:t>
              <w:br w:type="textWrapping"/>
              <w:br w:type="textWrapping"/>
              <w:t xml:space="preserve">Quality Unit Ukraine functions as a subcontractor to provide the LiveAgent Service.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Twilio, Inc.</w:t>
              <w:br w:type="textWrapping"/>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United States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LiveAgent uses Twillio as their VoIP provider.</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Makara Partner, s. r. 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Slovakia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accounting may access Service Data in order to create and process invoices.</w:t>
            </w:r>
          </w:p>
        </w:tc>
      </w:tr>
    </w:tbl>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pdu0m5ewstcm" w:id="23"/>
      <w:bookmarkEnd w:id="23"/>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inline distB="0" distT="0" distL="0" distR="0">
          <wp:extent cx="1403985" cy="35369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3985" cy="3536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lowerLetter"/>
      <w:lvlText w:val="%1)"/>
      <w:lvlJc w:val="left"/>
      <w:pPr>
        <w:ind w:left="1496" w:hanging="360"/>
      </w:pPr>
      <w:rPr/>
    </w:lvl>
    <w:lvl w:ilvl="1">
      <w:start w:val="1"/>
      <w:numFmt w:val="lowerLetter"/>
      <w:lvlText w:val="%2."/>
      <w:lvlJc w:val="left"/>
      <w:pPr>
        <w:ind w:left="2216" w:hanging="360"/>
      </w:pPr>
      <w:rPr/>
    </w:lvl>
    <w:lvl w:ilvl="2">
      <w:start w:val="1"/>
      <w:numFmt w:val="lowerRoman"/>
      <w:lvlText w:val="%3."/>
      <w:lvlJc w:val="right"/>
      <w:pPr>
        <w:ind w:left="2936" w:hanging="180"/>
      </w:pPr>
      <w:rPr/>
    </w:lvl>
    <w:lvl w:ilvl="3">
      <w:start w:val="1"/>
      <w:numFmt w:val="decimal"/>
      <w:lvlText w:val="%4."/>
      <w:lvlJc w:val="left"/>
      <w:pPr>
        <w:ind w:left="3656" w:hanging="360"/>
      </w:pPr>
      <w:rPr/>
    </w:lvl>
    <w:lvl w:ilvl="4">
      <w:start w:val="1"/>
      <w:numFmt w:val="lowerLetter"/>
      <w:lvlText w:val="%5."/>
      <w:lvlJc w:val="left"/>
      <w:pPr>
        <w:ind w:left="4376" w:hanging="360"/>
      </w:pPr>
      <w:rPr/>
    </w:lvl>
    <w:lvl w:ilvl="5">
      <w:start w:val="1"/>
      <w:numFmt w:val="lowerRoman"/>
      <w:lvlText w:val="%6."/>
      <w:lvlJc w:val="right"/>
      <w:pPr>
        <w:ind w:left="5096" w:hanging="180"/>
      </w:pPr>
      <w:rPr/>
    </w:lvl>
    <w:lvl w:ilvl="6">
      <w:start w:val="1"/>
      <w:numFmt w:val="decimal"/>
      <w:lvlText w:val="%7."/>
      <w:lvlJc w:val="left"/>
      <w:pPr>
        <w:ind w:left="5816" w:hanging="360"/>
      </w:pPr>
      <w:rPr/>
    </w:lvl>
    <w:lvl w:ilvl="7">
      <w:start w:val="1"/>
      <w:numFmt w:val="lowerLetter"/>
      <w:lvlText w:val="%8."/>
      <w:lvlJc w:val="left"/>
      <w:pPr>
        <w:ind w:left="6536" w:hanging="360"/>
      </w:pPr>
      <w:rPr/>
    </w:lvl>
    <w:lvl w:ilvl="8">
      <w:start w:val="1"/>
      <w:numFmt w:val="lowerRoman"/>
      <w:lvlText w:val="%9."/>
      <w:lvlJc w:val="right"/>
      <w:pPr>
        <w:ind w:left="7256" w:hanging="180"/>
      </w:pPr>
      <w:rPr/>
    </w:lvl>
  </w:abstractNum>
  <w:abstractNum w:abstractNumId="10">
    <w:lvl w:ilvl="0">
      <w:start w:val="1"/>
      <w:numFmt w:val="lowerLetter"/>
      <w:lvlText w:val="%1)"/>
      <w:lvlJc w:val="left"/>
      <w:pPr>
        <w:ind w:left="107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3"/>
      </w:pPr>
      <w:rPr>
        <w:b w:val="1"/>
      </w:rPr>
    </w:lvl>
    <w:lvl w:ilvl="1">
      <w:start w:val="1"/>
      <w:numFmt w:val="decimal"/>
      <w:lvlText w:val="%1.%2."/>
      <w:lvlJc w:val="left"/>
      <w:pPr>
        <w:ind w:left="720" w:hanging="363"/>
      </w:pPr>
      <w:rPr>
        <w:b w:val="0"/>
        <w:i w:val="0"/>
        <w:color w:val="000000"/>
      </w:rPr>
    </w:lvl>
    <w:lvl w:ilvl="2">
      <w:start w:val="1"/>
      <w:numFmt w:val="decimal"/>
      <w:lvlText w:val="%1.%2.%3."/>
      <w:lvlJc w:val="left"/>
      <w:pPr>
        <w:ind w:left="720" w:hanging="363"/>
      </w:pPr>
      <w:rPr/>
    </w:lvl>
    <w:lvl w:ilvl="3">
      <w:start w:val="1"/>
      <w:numFmt w:val="decimal"/>
      <w:lvlText w:val="%1.%2.%3.%4."/>
      <w:lvlJc w:val="left"/>
      <w:pPr>
        <w:ind w:left="720" w:hanging="363"/>
      </w:pPr>
      <w:rPr/>
    </w:lvl>
    <w:lvl w:ilvl="4">
      <w:start w:val="1"/>
      <w:numFmt w:val="decimal"/>
      <w:lvlText w:val="%1.%2.%3.%4.%5."/>
      <w:lvlJc w:val="left"/>
      <w:pPr>
        <w:ind w:left="720" w:hanging="363"/>
      </w:pPr>
      <w:rPr/>
    </w:lvl>
    <w:lvl w:ilvl="5">
      <w:start w:val="1"/>
      <w:numFmt w:val="decimal"/>
      <w:lvlText w:val="%1.%2.%3.%4.%5.%6."/>
      <w:lvlJc w:val="left"/>
      <w:pPr>
        <w:ind w:left="720" w:hanging="363"/>
      </w:pPr>
      <w:rPr/>
    </w:lvl>
    <w:lvl w:ilvl="6">
      <w:start w:val="1"/>
      <w:numFmt w:val="decimal"/>
      <w:lvlText w:val="%1.%2.%3.%4.%5.%6.%7."/>
      <w:lvlJc w:val="left"/>
      <w:pPr>
        <w:ind w:left="720" w:hanging="363"/>
      </w:pPr>
      <w:rPr/>
    </w:lvl>
    <w:lvl w:ilvl="7">
      <w:start w:val="1"/>
      <w:numFmt w:val="decimal"/>
      <w:lvlText w:val="%1.%2.%3.%4.%5.%6.%7.%8."/>
      <w:lvlJc w:val="left"/>
      <w:pPr>
        <w:ind w:left="720" w:hanging="363"/>
      </w:pPr>
      <w:rPr/>
    </w:lvl>
    <w:lvl w:ilvl="8">
      <w:start w:val="1"/>
      <w:numFmt w:val="decimal"/>
      <w:lvlText w:val="%1.%2.%3.%4.%5.%6.%7.%8.%9."/>
      <w:lvlJc w:val="left"/>
      <w:pPr>
        <w:ind w:left="720" w:hanging="363"/>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240" w:lineRule="auto"/>
    </w:pPr>
    <w:rPr>
      <w:b w:val="1"/>
      <w:sz w:val="48"/>
      <w:szCs w:val="48"/>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80" w:before="280" w:line="240" w:lineRule="auto"/>
    </w:pPr>
    <w:rPr>
      <w:b w:val="1"/>
      <w:sz w:val="28"/>
      <w:szCs w:val="28"/>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keepNext w:val="1"/>
      <w:keepLines w:val="1"/>
      <w:spacing w:after="120" w:before="480" w:line="240" w:lineRule="auto"/>
    </w:pPr>
    <w:rPr>
      <w:b w:val="1"/>
      <w:sz w:val="72"/>
      <w:szCs w:val="7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widowControl w:val="1"/>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x7x1UVlyoNbHE0HRwpQi2veBw==">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