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6FC07C36" w:rsidR="00EC6F8D" w:rsidRPr="00171323" w:rsidRDefault="00EC6F8D" w:rsidP="00EC6F8D">
      <w:pPr>
        <w:spacing w:before="1440"/>
        <w:jc w:val="center"/>
        <w:rPr>
          <w:rFonts w:ascii="Arial" w:hAnsi="Arial" w:cs="Arial"/>
          <w:b/>
          <w:sz w:val="22"/>
          <w:szCs w:val="22"/>
        </w:rPr>
      </w:pPr>
      <w:r w:rsidRPr="00171323">
        <w:rPr>
          <w:rFonts w:ascii="Arial" w:hAnsi="Arial"/>
          <w:b/>
          <w:sz w:val="22"/>
        </w:rPr>
        <w:t>CONVENCIÓN PARA LA SALVAGUARDIA DEL</w:t>
      </w:r>
      <w:r w:rsidRPr="00171323">
        <w:rPr>
          <w:rFonts w:ascii="Arial" w:hAnsi="Arial"/>
          <w:b/>
          <w:sz w:val="22"/>
        </w:rPr>
        <w:br/>
        <w:t>PATRIMONIO CULTURAL INMATERIAL</w:t>
      </w:r>
    </w:p>
    <w:p w14:paraId="3F72B1D3" w14:textId="37133200" w:rsidR="00EC6F8D" w:rsidRPr="00171323" w:rsidRDefault="005C792B" w:rsidP="00EC6F8D">
      <w:pPr>
        <w:spacing w:before="1200"/>
        <w:jc w:val="center"/>
        <w:rPr>
          <w:rFonts w:ascii="Arial" w:hAnsi="Arial" w:cs="Arial"/>
          <w:b/>
          <w:sz w:val="22"/>
          <w:szCs w:val="22"/>
        </w:rPr>
      </w:pPr>
      <w:r w:rsidRPr="00171323">
        <w:rPr>
          <w:rFonts w:ascii="Arial" w:hAnsi="Arial"/>
          <w:b/>
          <w:sz w:val="22"/>
        </w:rPr>
        <w:t>ASAMBLEA GENERAL DE LOS ESTADOS PARTES EN LA CONVENCIÓN</w:t>
      </w:r>
    </w:p>
    <w:p w14:paraId="2E1CD4B4" w14:textId="1F59B9D4" w:rsidR="00EC6F8D" w:rsidRPr="00171323" w:rsidRDefault="005C792B" w:rsidP="001D14FE">
      <w:pPr>
        <w:spacing w:before="840"/>
        <w:jc w:val="center"/>
        <w:rPr>
          <w:rFonts w:ascii="Arial" w:hAnsi="Arial" w:cs="Arial"/>
          <w:b/>
          <w:sz w:val="22"/>
          <w:szCs w:val="22"/>
        </w:rPr>
      </w:pPr>
      <w:r w:rsidRPr="00171323">
        <w:rPr>
          <w:rFonts w:ascii="Arial" w:hAnsi="Arial"/>
          <w:b/>
          <w:sz w:val="22"/>
        </w:rPr>
        <w:t>Décima reunión</w:t>
      </w:r>
    </w:p>
    <w:p w14:paraId="1FD89575" w14:textId="05D2C62D" w:rsidR="00B2172B" w:rsidRPr="00171323" w:rsidRDefault="005C792B" w:rsidP="00B2172B">
      <w:pPr>
        <w:jc w:val="center"/>
        <w:rPr>
          <w:rFonts w:ascii="Arial" w:hAnsi="Arial" w:cs="Arial"/>
          <w:b/>
          <w:sz w:val="22"/>
          <w:szCs w:val="22"/>
        </w:rPr>
      </w:pPr>
      <w:r w:rsidRPr="00171323">
        <w:rPr>
          <w:rFonts w:ascii="Arial" w:hAnsi="Arial"/>
          <w:b/>
          <w:sz w:val="22"/>
        </w:rPr>
        <w:t>Sede de la UNESCO, Sala I</w:t>
      </w:r>
    </w:p>
    <w:p w14:paraId="52EA6D50" w14:textId="12896B63" w:rsidR="00B2172B" w:rsidRPr="00171323" w:rsidRDefault="0054535F" w:rsidP="00B2172B">
      <w:pPr>
        <w:jc w:val="center"/>
        <w:rPr>
          <w:rFonts w:ascii="Arial" w:hAnsi="Arial" w:cs="Arial"/>
          <w:b/>
          <w:sz w:val="22"/>
          <w:szCs w:val="22"/>
        </w:rPr>
      </w:pPr>
      <w:r w:rsidRPr="00171323">
        <w:rPr>
          <w:rFonts w:ascii="Arial" w:hAnsi="Arial"/>
          <w:b/>
          <w:sz w:val="22"/>
        </w:rPr>
        <w:t>11 al 1</w:t>
      </w:r>
      <w:r w:rsidR="00CA7DB9" w:rsidRPr="00171323">
        <w:rPr>
          <w:rFonts w:ascii="Arial" w:hAnsi="Arial"/>
          <w:b/>
          <w:sz w:val="22"/>
        </w:rPr>
        <w:t>2</w:t>
      </w:r>
      <w:r w:rsidRPr="00171323">
        <w:rPr>
          <w:rFonts w:ascii="Arial" w:hAnsi="Arial"/>
          <w:b/>
          <w:sz w:val="22"/>
        </w:rPr>
        <w:t xml:space="preserve"> de junio de 2024</w:t>
      </w:r>
    </w:p>
    <w:p w14:paraId="59920478" w14:textId="567357B8" w:rsidR="004A2875" w:rsidRPr="00171323" w:rsidRDefault="004A2875" w:rsidP="004A2875">
      <w:pPr>
        <w:pStyle w:val="Sansinterligne2"/>
        <w:spacing w:after="960"/>
        <w:jc w:val="center"/>
        <w:rPr>
          <w:rFonts w:ascii="Arial" w:hAnsi="Arial" w:cs="Arial"/>
          <w:bCs/>
          <w:sz w:val="22"/>
          <w:szCs w:val="22"/>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71323" w14:paraId="75AC6221" w14:textId="77777777" w:rsidTr="00842F8F">
        <w:trPr>
          <w:jc w:val="center"/>
        </w:trPr>
        <w:tc>
          <w:tcPr>
            <w:tcW w:w="5670" w:type="dxa"/>
            <w:vAlign w:val="center"/>
          </w:tcPr>
          <w:p w14:paraId="290310E8" w14:textId="2CDA86D5" w:rsidR="00EC6F8D" w:rsidRPr="00171323" w:rsidRDefault="00842F8F" w:rsidP="00842F8F">
            <w:pPr>
              <w:pStyle w:val="Sansinterligne2"/>
              <w:spacing w:before="200" w:after="200"/>
              <w:jc w:val="center"/>
              <w:rPr>
                <w:rFonts w:ascii="Arial" w:hAnsi="Arial" w:cs="Arial"/>
                <w:b/>
                <w:sz w:val="36"/>
                <w:szCs w:val="36"/>
              </w:rPr>
            </w:pPr>
            <w:r w:rsidRPr="00171323">
              <w:rPr>
                <w:rFonts w:ascii="Arial" w:hAnsi="Arial" w:cs="Arial"/>
                <w:b/>
                <w:sz w:val="36"/>
                <w:szCs w:val="36"/>
              </w:rPr>
              <w:t>Resoluciones</w:t>
            </w:r>
          </w:p>
        </w:tc>
      </w:tr>
    </w:tbl>
    <w:p w14:paraId="713D819F" w14:textId="77777777" w:rsidR="004A2875" w:rsidRPr="00171323"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rPr>
      </w:pPr>
      <w:r w:rsidRPr="00171323">
        <w:br w:type="page"/>
      </w:r>
    </w:p>
    <w:p w14:paraId="6CEB1E9D" w14:textId="49321D48" w:rsidR="00D95C4C" w:rsidRPr="00171323" w:rsidRDefault="004A34A0" w:rsidP="00842F8F">
      <w:pPr>
        <w:pStyle w:val="COMTitleDecision"/>
        <w:ind w:left="142" w:hanging="142"/>
        <w:rPr>
          <w:rFonts w:eastAsia="SimSun"/>
        </w:rPr>
      </w:pPr>
      <w:r w:rsidRPr="00171323">
        <w:lastRenderedPageBreak/>
        <w:t xml:space="preserve">RESOLUCIÓN 10.GA </w:t>
      </w:r>
      <w:r w:rsidR="00842F8F" w:rsidRPr="00171323">
        <w:t>2</w:t>
      </w:r>
    </w:p>
    <w:p w14:paraId="13024F0B" w14:textId="5181E164" w:rsidR="00D95C4C" w:rsidRPr="00171323" w:rsidRDefault="005C792B" w:rsidP="00842F8F">
      <w:pPr>
        <w:pStyle w:val="COMPreambulaDecisions"/>
        <w:ind w:left="142" w:hanging="142"/>
        <w:rPr>
          <w:rFonts w:eastAsia="SimSun"/>
        </w:rPr>
      </w:pPr>
      <w:r w:rsidRPr="00171323">
        <w:t>La Asamblea General,</w:t>
      </w:r>
    </w:p>
    <w:p w14:paraId="293D9F2B" w14:textId="44C1F67B" w:rsidR="00842F8F" w:rsidRPr="00171323" w:rsidRDefault="00842F8F" w:rsidP="00842F8F">
      <w:pPr>
        <w:pStyle w:val="COMParaDecision"/>
        <w:ind w:left="567" w:hanging="567"/>
      </w:pPr>
      <w:r w:rsidRPr="00171323">
        <w:t>Habiendo examinado</w:t>
      </w:r>
      <w:r w:rsidRPr="00171323">
        <w:rPr>
          <w:u w:val="none"/>
        </w:rPr>
        <w:t xml:space="preserve"> el documento </w:t>
      </w:r>
      <w:hyperlink r:id="rId8" w:history="1">
        <w:r w:rsidRPr="00171323">
          <w:rPr>
            <w:rStyle w:val="Lienhypertexte"/>
          </w:rPr>
          <w:t>LHE/24/10.GA/2</w:t>
        </w:r>
      </w:hyperlink>
      <w:r w:rsidRPr="00171323">
        <w:rPr>
          <w:u w:val="none"/>
        </w:rPr>
        <w:t>,</w:t>
      </w:r>
    </w:p>
    <w:p w14:paraId="3C1006BE" w14:textId="77777777" w:rsidR="00842F8F" w:rsidRPr="00171323" w:rsidRDefault="00842F8F" w:rsidP="00842F8F">
      <w:pPr>
        <w:pStyle w:val="COMParaDecision"/>
        <w:ind w:left="567" w:hanging="567"/>
      </w:pPr>
      <w:r w:rsidRPr="00171323">
        <w:t>Recordando</w:t>
      </w:r>
      <w:r w:rsidRPr="00171323">
        <w:rPr>
          <w:u w:val="none"/>
        </w:rPr>
        <w:t xml:space="preserve"> el Artículo 11 de su Reglamento,</w:t>
      </w:r>
    </w:p>
    <w:p w14:paraId="4DDF83DC" w14:textId="656E5434" w:rsidR="00842F8F" w:rsidRPr="00171323" w:rsidRDefault="00842F8F" w:rsidP="00842F8F">
      <w:pPr>
        <w:pStyle w:val="COMParaDecision"/>
        <w:ind w:left="567" w:hanging="567"/>
        <w:jc w:val="left"/>
      </w:pPr>
      <w:r w:rsidRPr="00171323">
        <w:t>Elige a</w:t>
      </w:r>
      <w:r w:rsidRPr="00171323">
        <w:rPr>
          <w:u w:val="none"/>
        </w:rPr>
        <w:t xml:space="preserve"> </w:t>
      </w:r>
      <w:r w:rsidR="00B0400B" w:rsidRPr="00171323">
        <w:rPr>
          <w:u w:val="none"/>
        </w:rPr>
        <w:t xml:space="preserve">S.E. </w:t>
      </w:r>
      <w:proofErr w:type="spellStart"/>
      <w:r w:rsidR="00B0400B" w:rsidRPr="00171323">
        <w:rPr>
          <w:u w:val="none"/>
        </w:rPr>
        <w:t>Mr</w:t>
      </w:r>
      <w:proofErr w:type="spellEnd"/>
      <w:r w:rsidR="00B0400B" w:rsidRPr="00171323">
        <w:rPr>
          <w:u w:val="none"/>
        </w:rPr>
        <w:t xml:space="preserve"> Mariusz </w:t>
      </w:r>
      <w:proofErr w:type="spellStart"/>
      <w:r w:rsidR="00B0400B" w:rsidRPr="00171323">
        <w:rPr>
          <w:u w:val="none"/>
        </w:rPr>
        <w:t>Lewicki</w:t>
      </w:r>
      <w:proofErr w:type="spellEnd"/>
      <w:r w:rsidR="00B0400B" w:rsidRPr="00171323">
        <w:rPr>
          <w:u w:val="none"/>
        </w:rPr>
        <w:t xml:space="preserve"> (Polonia) </w:t>
      </w:r>
      <w:r w:rsidRPr="00171323">
        <w:rPr>
          <w:u w:val="none"/>
        </w:rPr>
        <w:t xml:space="preserve">como </w:t>
      </w:r>
      <w:proofErr w:type="gramStart"/>
      <w:r w:rsidRPr="00171323">
        <w:rPr>
          <w:u w:val="none"/>
        </w:rPr>
        <w:t>Presidente</w:t>
      </w:r>
      <w:proofErr w:type="gramEnd"/>
      <w:r w:rsidRPr="00171323">
        <w:rPr>
          <w:u w:val="none"/>
        </w:rPr>
        <w:t xml:space="preserve"> de la Asamblea General;</w:t>
      </w:r>
    </w:p>
    <w:p w14:paraId="12D26AC9" w14:textId="47CC46C6" w:rsidR="00842F8F" w:rsidRPr="00171323" w:rsidRDefault="00842F8F" w:rsidP="00842F8F">
      <w:pPr>
        <w:pStyle w:val="COMParaDecision"/>
        <w:ind w:left="567" w:hanging="567"/>
        <w:jc w:val="left"/>
      </w:pPr>
      <w:r w:rsidRPr="00171323">
        <w:t>Elige a</w:t>
      </w:r>
      <w:r w:rsidR="00B0400B" w:rsidRPr="00171323">
        <w:t>l</w:t>
      </w:r>
      <w:r w:rsidRPr="00171323">
        <w:t xml:space="preserve"> </w:t>
      </w:r>
      <w:r w:rsidR="00B0400B" w:rsidRPr="00171323">
        <w:rPr>
          <w:u w:val="none"/>
        </w:rPr>
        <w:t>Sr. Souleymane</w:t>
      </w:r>
      <w:r w:rsidRPr="00171323">
        <w:rPr>
          <w:u w:val="none"/>
        </w:rPr>
        <w:t xml:space="preserve"> </w:t>
      </w:r>
      <w:r w:rsidR="00B0400B" w:rsidRPr="00171323">
        <w:rPr>
          <w:u w:val="none"/>
        </w:rPr>
        <w:t xml:space="preserve">Konate (Mali) </w:t>
      </w:r>
      <w:r w:rsidRPr="00171323">
        <w:rPr>
          <w:u w:val="none"/>
        </w:rPr>
        <w:t>como Relator de la Asamblea General;</w:t>
      </w:r>
    </w:p>
    <w:p w14:paraId="2D576F05" w14:textId="3482462F" w:rsidR="00842F8F" w:rsidRPr="00171323" w:rsidRDefault="00842F8F" w:rsidP="00842F8F">
      <w:pPr>
        <w:pStyle w:val="COMParaDecision"/>
        <w:ind w:left="567" w:hanging="567"/>
        <w:jc w:val="left"/>
      </w:pPr>
      <w:r w:rsidRPr="00171323">
        <w:t xml:space="preserve">Elige a </w:t>
      </w:r>
      <w:r w:rsidR="00B0400B" w:rsidRPr="00171323">
        <w:rPr>
          <w:u w:val="none"/>
        </w:rPr>
        <w:t xml:space="preserve">Luxemburgo, El Salvador, </w:t>
      </w:r>
      <w:proofErr w:type="spellStart"/>
      <w:r w:rsidR="00B0400B" w:rsidRPr="00171323">
        <w:rPr>
          <w:u w:val="none"/>
        </w:rPr>
        <w:t>Viet</w:t>
      </w:r>
      <w:proofErr w:type="spellEnd"/>
      <w:r w:rsidR="00B0400B" w:rsidRPr="00171323">
        <w:rPr>
          <w:u w:val="none"/>
        </w:rPr>
        <w:t xml:space="preserve"> </w:t>
      </w:r>
      <w:proofErr w:type="spellStart"/>
      <w:r w:rsidR="00B0400B" w:rsidRPr="00171323">
        <w:rPr>
          <w:u w:val="none"/>
        </w:rPr>
        <w:t>Nam</w:t>
      </w:r>
      <w:proofErr w:type="spellEnd"/>
      <w:r w:rsidR="00B0400B" w:rsidRPr="00171323">
        <w:rPr>
          <w:u w:val="none"/>
        </w:rPr>
        <w:t>, Etiopía y Marruecos</w:t>
      </w:r>
      <w:r w:rsidRPr="00171323">
        <w:rPr>
          <w:u w:val="none"/>
        </w:rPr>
        <w:t xml:space="preserve"> como </w:t>
      </w:r>
      <w:proofErr w:type="gramStart"/>
      <w:r w:rsidRPr="00171323">
        <w:rPr>
          <w:u w:val="none"/>
        </w:rPr>
        <w:t>Vicepresidente</w:t>
      </w:r>
      <w:r w:rsidR="00B0400B" w:rsidRPr="00171323">
        <w:rPr>
          <w:u w:val="none"/>
        </w:rPr>
        <w:t>s</w:t>
      </w:r>
      <w:proofErr w:type="gramEnd"/>
      <w:r w:rsidRPr="00171323">
        <w:rPr>
          <w:u w:val="none"/>
        </w:rPr>
        <w:t xml:space="preserve"> de la Asamblea General.</w:t>
      </w:r>
    </w:p>
    <w:p w14:paraId="4140BA2B" w14:textId="19C5A546" w:rsidR="00842F8F" w:rsidRPr="00171323" w:rsidRDefault="00842F8F" w:rsidP="00842F8F">
      <w:pPr>
        <w:pStyle w:val="COMTitleDecision"/>
        <w:ind w:left="142" w:hanging="142"/>
      </w:pPr>
      <w:r w:rsidRPr="00171323">
        <w:t>RESOLUCIÓN 10.GA 3</w:t>
      </w:r>
    </w:p>
    <w:p w14:paraId="7F0D5803" w14:textId="77777777" w:rsidR="00842F8F" w:rsidRPr="00171323" w:rsidRDefault="00842F8F" w:rsidP="00842F8F">
      <w:pPr>
        <w:pStyle w:val="COMPreambulaDecisions"/>
        <w:ind w:hanging="567"/>
        <w:rPr>
          <w:rFonts w:eastAsia="SimSun"/>
        </w:rPr>
      </w:pPr>
      <w:r w:rsidRPr="00171323">
        <w:t>La Asamblea General,</w:t>
      </w:r>
    </w:p>
    <w:p w14:paraId="3DF65749" w14:textId="0292BB71" w:rsidR="00842F8F" w:rsidRPr="00171323" w:rsidRDefault="00842F8F" w:rsidP="00842F8F">
      <w:pPr>
        <w:pStyle w:val="COMParaDecision"/>
        <w:numPr>
          <w:ilvl w:val="0"/>
          <w:numId w:val="24"/>
        </w:numPr>
        <w:ind w:left="567" w:hanging="567"/>
        <w:rPr>
          <w:u w:val="none"/>
        </w:rPr>
      </w:pPr>
      <w:r w:rsidRPr="00171323">
        <w:t>Habiendo examinado</w:t>
      </w:r>
      <w:r w:rsidRPr="00171323">
        <w:rPr>
          <w:u w:val="none"/>
        </w:rPr>
        <w:t xml:space="preserve"> el documento </w:t>
      </w:r>
      <w:hyperlink r:id="rId9" w:history="1">
        <w:r w:rsidRPr="00171323">
          <w:rPr>
            <w:rStyle w:val="Lienhypertexte"/>
          </w:rPr>
          <w:t>LHE/24/10.GA/3 Rev.</w:t>
        </w:r>
      </w:hyperlink>
      <w:r w:rsidRPr="00171323">
        <w:rPr>
          <w:u w:val="none"/>
        </w:rPr>
        <w:t>,</w:t>
      </w:r>
    </w:p>
    <w:p w14:paraId="2E7F7073" w14:textId="77777777" w:rsidR="00842F8F" w:rsidRPr="00171323" w:rsidRDefault="00842F8F" w:rsidP="00842F8F">
      <w:pPr>
        <w:pStyle w:val="COMParaDecision"/>
        <w:numPr>
          <w:ilvl w:val="0"/>
          <w:numId w:val="24"/>
        </w:numPr>
        <w:ind w:left="567" w:hanging="567"/>
      </w:pPr>
      <w:r w:rsidRPr="00171323">
        <w:t>Aprueba</w:t>
      </w:r>
      <w:r w:rsidRPr="00171323">
        <w:rPr>
          <w:u w:val="none"/>
        </w:rPr>
        <w:t xml:space="preserve"> el orden del día de su décima reunión (París, Sede de la UNESCO, 11 al 12 de junio de 2024), que figura a continuación:</w:t>
      </w:r>
    </w:p>
    <w:p w14:paraId="6A09B8F4" w14:textId="77777777" w:rsidR="00842F8F" w:rsidRPr="00171323" w:rsidRDefault="00842F8F" w:rsidP="00842F8F">
      <w:pPr>
        <w:tabs>
          <w:tab w:val="left" w:pos="1134"/>
        </w:tabs>
        <w:spacing w:before="360" w:after="240"/>
        <w:ind w:left="1134" w:hanging="567"/>
        <w:outlineLvl w:val="0"/>
        <w:rPr>
          <w:rFonts w:ascii="Arial" w:eastAsia="SimSun" w:hAnsi="Arial" w:cs="Arial"/>
          <w:b/>
          <w:sz w:val="22"/>
          <w:szCs w:val="22"/>
        </w:rPr>
      </w:pPr>
      <w:r w:rsidRPr="00171323">
        <w:rPr>
          <w:rFonts w:ascii="Arial" w:hAnsi="Arial"/>
          <w:b/>
          <w:sz w:val="22"/>
        </w:rPr>
        <w:t>Orden del día</w:t>
      </w:r>
    </w:p>
    <w:p w14:paraId="120945EE" w14:textId="77777777" w:rsidR="00842F8F" w:rsidRPr="00171323" w:rsidRDefault="00842F8F" w:rsidP="00842F8F">
      <w:pPr>
        <w:pStyle w:val="COMParaDecision"/>
        <w:numPr>
          <w:ilvl w:val="0"/>
          <w:numId w:val="23"/>
        </w:numPr>
        <w:ind w:left="1134" w:hanging="567"/>
        <w:rPr>
          <w:u w:val="none"/>
        </w:rPr>
      </w:pPr>
      <w:r w:rsidRPr="00171323">
        <w:rPr>
          <w:u w:val="none"/>
        </w:rPr>
        <w:t>Apertura</w:t>
      </w:r>
    </w:p>
    <w:p w14:paraId="08CC7469" w14:textId="77777777" w:rsidR="00842F8F" w:rsidRPr="00171323" w:rsidRDefault="00842F8F" w:rsidP="00842F8F">
      <w:pPr>
        <w:pStyle w:val="COMParaDecision"/>
        <w:numPr>
          <w:ilvl w:val="0"/>
          <w:numId w:val="23"/>
        </w:numPr>
        <w:ind w:left="1134" w:hanging="567"/>
        <w:rPr>
          <w:u w:val="none"/>
        </w:rPr>
      </w:pPr>
      <w:r w:rsidRPr="00171323">
        <w:rPr>
          <w:u w:val="none"/>
        </w:rPr>
        <w:t>Elección de la Mesa</w:t>
      </w:r>
    </w:p>
    <w:p w14:paraId="269A956C" w14:textId="77777777" w:rsidR="00842F8F" w:rsidRPr="00171323" w:rsidRDefault="00842F8F" w:rsidP="00842F8F">
      <w:pPr>
        <w:pStyle w:val="COMParaDecision"/>
        <w:numPr>
          <w:ilvl w:val="0"/>
          <w:numId w:val="23"/>
        </w:numPr>
        <w:ind w:left="1134" w:hanging="567"/>
        <w:rPr>
          <w:u w:val="none"/>
        </w:rPr>
      </w:pPr>
      <w:r w:rsidRPr="00171323">
        <w:rPr>
          <w:u w:val="none"/>
        </w:rPr>
        <w:t>Aprobación del orden del día</w:t>
      </w:r>
    </w:p>
    <w:p w14:paraId="13630955" w14:textId="77777777" w:rsidR="00842F8F" w:rsidRPr="00171323" w:rsidRDefault="00842F8F" w:rsidP="00842F8F">
      <w:pPr>
        <w:pStyle w:val="COMParaDecision"/>
        <w:numPr>
          <w:ilvl w:val="0"/>
          <w:numId w:val="23"/>
        </w:numPr>
        <w:ind w:left="1134" w:hanging="567"/>
        <w:rPr>
          <w:u w:val="none"/>
        </w:rPr>
      </w:pPr>
      <w:r w:rsidRPr="00171323">
        <w:rPr>
          <w:u w:val="none"/>
        </w:rPr>
        <w:t>Distribución de los puestos del Comité por grupo electoral</w:t>
      </w:r>
    </w:p>
    <w:p w14:paraId="5969C517" w14:textId="77777777" w:rsidR="00842F8F" w:rsidRPr="00171323" w:rsidRDefault="00842F8F" w:rsidP="00842F8F">
      <w:pPr>
        <w:pStyle w:val="COMParaDecision"/>
        <w:numPr>
          <w:ilvl w:val="0"/>
          <w:numId w:val="23"/>
        </w:numPr>
        <w:ind w:left="1134" w:hanging="567"/>
        <w:rPr>
          <w:u w:val="none"/>
        </w:rPr>
      </w:pPr>
      <w:r w:rsidRPr="00171323">
        <w:rPr>
          <w:u w:val="none"/>
        </w:rPr>
        <w:t>Informe del Comité a la Asamblea General (enero de 2022 a diciembre de 2023)</w:t>
      </w:r>
    </w:p>
    <w:p w14:paraId="49BADA92" w14:textId="77777777" w:rsidR="00842F8F" w:rsidRPr="00171323" w:rsidRDefault="00842F8F" w:rsidP="00842F8F">
      <w:pPr>
        <w:pStyle w:val="COMParaDecision"/>
        <w:numPr>
          <w:ilvl w:val="0"/>
          <w:numId w:val="23"/>
        </w:numPr>
        <w:ind w:left="1134" w:hanging="567"/>
        <w:rPr>
          <w:u w:val="none"/>
        </w:rPr>
      </w:pPr>
      <w:r w:rsidRPr="00171323">
        <w:rPr>
          <w:u w:val="none"/>
        </w:rPr>
        <w:t>Informe de la Secretaría sobre sus actividades (enero de 2022 a diciembre de 2023)</w:t>
      </w:r>
    </w:p>
    <w:p w14:paraId="205FFD5D" w14:textId="77777777" w:rsidR="00842F8F" w:rsidRPr="00171323" w:rsidRDefault="00842F8F" w:rsidP="00842F8F">
      <w:pPr>
        <w:pStyle w:val="COMParaDecision"/>
        <w:numPr>
          <w:ilvl w:val="0"/>
          <w:numId w:val="23"/>
        </w:numPr>
        <w:ind w:left="1134" w:hanging="567"/>
        <w:rPr>
          <w:u w:val="none"/>
        </w:rPr>
      </w:pPr>
      <w:r w:rsidRPr="00171323">
        <w:rPr>
          <w:u w:val="none"/>
        </w:rPr>
        <w:t>Propuestas de revisión de las Directrices Operativas para la aplicación de la Convención</w:t>
      </w:r>
    </w:p>
    <w:p w14:paraId="1D87A8F6" w14:textId="77777777" w:rsidR="00842F8F" w:rsidRPr="00171323" w:rsidRDefault="00842F8F" w:rsidP="00842F8F">
      <w:pPr>
        <w:pStyle w:val="COMParaDecision"/>
        <w:numPr>
          <w:ilvl w:val="0"/>
          <w:numId w:val="23"/>
        </w:numPr>
        <w:ind w:left="1134" w:hanging="567"/>
        <w:rPr>
          <w:u w:val="none"/>
        </w:rPr>
      </w:pPr>
      <w:r w:rsidRPr="00171323">
        <w:rPr>
          <w:u w:val="none"/>
        </w:rPr>
        <w:t>Utilización de los recursos del Fondo del Patrimonio Cultural Inmaterial</w:t>
      </w:r>
    </w:p>
    <w:p w14:paraId="7869A67A" w14:textId="77777777" w:rsidR="00842F8F" w:rsidRPr="00171323" w:rsidRDefault="00842F8F" w:rsidP="00842F8F">
      <w:pPr>
        <w:pStyle w:val="COMParaDecision"/>
        <w:numPr>
          <w:ilvl w:val="0"/>
          <w:numId w:val="23"/>
        </w:numPr>
        <w:ind w:left="1134" w:hanging="567"/>
        <w:rPr>
          <w:u w:val="none"/>
        </w:rPr>
      </w:pPr>
      <w:r w:rsidRPr="00171323">
        <w:rPr>
          <w:u w:val="none"/>
        </w:rPr>
        <w:t>Acreditación de las organizaciones no gubernamentales con fines de asistencia consultiva ante el Comité</w:t>
      </w:r>
    </w:p>
    <w:p w14:paraId="0824909B" w14:textId="77777777" w:rsidR="00842F8F" w:rsidRPr="00171323" w:rsidRDefault="00842F8F" w:rsidP="00842F8F">
      <w:pPr>
        <w:pStyle w:val="COMParaDecision"/>
        <w:numPr>
          <w:ilvl w:val="0"/>
          <w:numId w:val="23"/>
        </w:numPr>
        <w:ind w:left="1134" w:hanging="567"/>
        <w:rPr>
          <w:u w:val="none"/>
        </w:rPr>
      </w:pPr>
      <w:r w:rsidRPr="00171323">
        <w:rPr>
          <w:u w:val="none"/>
        </w:rPr>
        <w:t>Informe sobre el vigésimo aniversario de la Convención de 2003 en 2023</w:t>
      </w:r>
    </w:p>
    <w:p w14:paraId="7DCC4E91" w14:textId="77777777" w:rsidR="00842F8F" w:rsidRPr="00171323" w:rsidRDefault="00842F8F" w:rsidP="00842F8F">
      <w:pPr>
        <w:pStyle w:val="COMParaDecision"/>
        <w:numPr>
          <w:ilvl w:val="0"/>
          <w:numId w:val="23"/>
        </w:numPr>
        <w:ind w:left="1134" w:hanging="567"/>
        <w:rPr>
          <w:u w:val="none"/>
        </w:rPr>
      </w:pPr>
      <w:r w:rsidRPr="00171323">
        <w:rPr>
          <w:u w:val="none"/>
        </w:rPr>
        <w:t>Elección de los miembros del Comité Intergubernamental para la Salvaguardia del Patrimonio Cultural Inmaterial</w:t>
      </w:r>
    </w:p>
    <w:p w14:paraId="21EEFCB9" w14:textId="77777777" w:rsidR="00842F8F" w:rsidRPr="00171323" w:rsidRDefault="00842F8F" w:rsidP="00842F8F">
      <w:pPr>
        <w:pStyle w:val="COMParaDecision"/>
        <w:numPr>
          <w:ilvl w:val="0"/>
          <w:numId w:val="23"/>
        </w:numPr>
        <w:ind w:left="1134" w:hanging="567"/>
        <w:rPr>
          <w:u w:val="none"/>
        </w:rPr>
      </w:pPr>
      <w:r w:rsidRPr="00171323">
        <w:rPr>
          <w:u w:val="none"/>
        </w:rPr>
        <w:t>Otros asuntos</w:t>
      </w:r>
    </w:p>
    <w:p w14:paraId="68621C59" w14:textId="77777777" w:rsidR="00842F8F" w:rsidRPr="00171323" w:rsidRDefault="00842F8F" w:rsidP="00842F8F">
      <w:pPr>
        <w:pStyle w:val="COMParaDecision"/>
        <w:numPr>
          <w:ilvl w:val="0"/>
          <w:numId w:val="23"/>
        </w:numPr>
        <w:ind w:left="1134" w:hanging="567"/>
        <w:rPr>
          <w:u w:val="none"/>
        </w:rPr>
      </w:pPr>
      <w:r w:rsidRPr="00171323">
        <w:rPr>
          <w:u w:val="none"/>
        </w:rPr>
        <w:t>Clausura</w:t>
      </w:r>
    </w:p>
    <w:p w14:paraId="6DDF4F74" w14:textId="066F4FBA" w:rsidR="00842F8F" w:rsidRPr="00171323" w:rsidRDefault="00842F8F" w:rsidP="00842F8F">
      <w:pPr>
        <w:pStyle w:val="COMTitleDecision"/>
        <w:ind w:left="142" w:hanging="142"/>
      </w:pPr>
      <w:r w:rsidRPr="00171323">
        <w:t>RESOLUCIÓN 10.GA 4</w:t>
      </w:r>
    </w:p>
    <w:p w14:paraId="2733DAC9" w14:textId="77777777" w:rsidR="006A6B1F" w:rsidRPr="00171323" w:rsidRDefault="006A6B1F" w:rsidP="006A6B1F">
      <w:pPr>
        <w:pStyle w:val="COMPreambulaDecisions"/>
        <w:ind w:left="426" w:hanging="426"/>
        <w:rPr>
          <w:rFonts w:eastAsia="SimSun"/>
        </w:rPr>
      </w:pPr>
      <w:r w:rsidRPr="00171323">
        <w:t>La Asamblea General,</w:t>
      </w:r>
    </w:p>
    <w:p w14:paraId="0B5D258B" w14:textId="77777777" w:rsidR="006A6B1F" w:rsidRPr="00171323" w:rsidRDefault="006A6B1F" w:rsidP="00A61E8F">
      <w:pPr>
        <w:pStyle w:val="COMParaDecision"/>
        <w:numPr>
          <w:ilvl w:val="0"/>
          <w:numId w:val="27"/>
        </w:numPr>
        <w:ind w:left="709" w:hanging="709"/>
      </w:pPr>
      <w:r w:rsidRPr="00171323">
        <w:t>Habiendo examinado</w:t>
      </w:r>
      <w:r w:rsidRPr="00171323">
        <w:rPr>
          <w:u w:val="none"/>
        </w:rPr>
        <w:t xml:space="preserve"> el documento </w:t>
      </w:r>
      <w:hyperlink r:id="rId10" w:history="1">
        <w:r w:rsidRPr="00171323">
          <w:rPr>
            <w:rStyle w:val="Lienhypertexte"/>
          </w:rPr>
          <w:t>LHE/24/10.GA/4</w:t>
        </w:r>
      </w:hyperlink>
      <w:r w:rsidRPr="00171323">
        <w:rPr>
          <w:u w:val="none"/>
        </w:rPr>
        <w:t>,</w:t>
      </w:r>
    </w:p>
    <w:p w14:paraId="0F75F4C7" w14:textId="77777777" w:rsidR="006A6B1F" w:rsidRPr="00171323" w:rsidRDefault="006A6B1F" w:rsidP="006A6B1F">
      <w:pPr>
        <w:pStyle w:val="COMParaDecision"/>
        <w:ind w:left="709" w:hanging="709"/>
      </w:pPr>
      <w:r w:rsidRPr="00171323">
        <w:t>Recordando</w:t>
      </w:r>
      <w:r w:rsidRPr="00171323">
        <w:rPr>
          <w:u w:val="none"/>
        </w:rPr>
        <w:t xml:space="preserve"> el Artículo 6 de la Convención,</w:t>
      </w:r>
    </w:p>
    <w:p w14:paraId="3B3C415F" w14:textId="77777777" w:rsidR="006A6B1F" w:rsidRPr="00171323" w:rsidRDefault="006A6B1F" w:rsidP="006A6B1F">
      <w:pPr>
        <w:pStyle w:val="COMParaDecision"/>
        <w:ind w:left="709" w:hanging="709"/>
        <w:jc w:val="left"/>
      </w:pPr>
      <w:r w:rsidRPr="00171323">
        <w:t>Recordando también</w:t>
      </w:r>
      <w:r w:rsidRPr="00171323">
        <w:rPr>
          <w:u w:val="none"/>
        </w:rPr>
        <w:t xml:space="preserve"> el Artículo 35 de su Reglamento y la </w:t>
      </w:r>
      <w:r w:rsidRPr="00171323">
        <w:rPr>
          <w:rStyle w:val="Lienhypertexte"/>
          <w:u w:val="none"/>
        </w:rPr>
        <w:t xml:space="preserve">Resolución </w:t>
      </w:r>
      <w:hyperlink r:id="rId11" w:history="1">
        <w:r w:rsidRPr="00171323">
          <w:rPr>
            <w:rStyle w:val="Lienhypertexte"/>
          </w:rPr>
          <w:t>3.GA 12</w:t>
        </w:r>
      </w:hyperlink>
      <w:r w:rsidRPr="00171323">
        <w:rPr>
          <w:u w:val="none"/>
        </w:rPr>
        <w:t>,</w:t>
      </w:r>
    </w:p>
    <w:p w14:paraId="61CA5BF6" w14:textId="04CB5338" w:rsidR="006A6B1F" w:rsidRPr="00171323" w:rsidRDefault="006A6B1F" w:rsidP="00171323">
      <w:pPr>
        <w:pStyle w:val="COMParaDecision"/>
        <w:ind w:left="709" w:hanging="709"/>
      </w:pPr>
      <w:r w:rsidRPr="00171323">
        <w:t>Decide</w:t>
      </w:r>
      <w:r w:rsidRPr="00171323">
        <w:rPr>
          <w:u w:val="none"/>
        </w:rPr>
        <w:t xml:space="preserve"> que, para la elección en su décima reunión, los 24 puestos del Comité se distribuirán entre los grupos electorales de la siguiente manera: Grupo I, 3 puestos; Grupo II, 3 puestos; Grupo III, 4 puestos; Grupo IV, 5 puestos; Grupo V(a), 6 puestos; Grupo V(b), 3 puestos.</w:t>
      </w:r>
    </w:p>
    <w:p w14:paraId="21F1F152" w14:textId="40FD5D73" w:rsidR="006A6B1F" w:rsidRPr="00171323" w:rsidRDefault="006A6B1F" w:rsidP="006A6B1F">
      <w:pPr>
        <w:pStyle w:val="COMTitleDecision"/>
        <w:ind w:left="142" w:hanging="142"/>
        <w:rPr>
          <w:rFonts w:eastAsia="SimSun"/>
        </w:rPr>
      </w:pPr>
      <w:r w:rsidRPr="00171323">
        <w:lastRenderedPageBreak/>
        <w:t>RESOLUCIÓN 10.GA 5</w:t>
      </w:r>
    </w:p>
    <w:p w14:paraId="6297EADD" w14:textId="77777777" w:rsidR="009647E8" w:rsidRPr="00171323" w:rsidRDefault="009647E8" w:rsidP="009647E8">
      <w:pPr>
        <w:pStyle w:val="COMPreambulaDecisions"/>
        <w:ind w:hanging="567"/>
        <w:rPr>
          <w:rFonts w:eastAsia="SimSun"/>
        </w:rPr>
      </w:pPr>
      <w:r w:rsidRPr="00171323">
        <w:t>La Asamblea General,</w:t>
      </w:r>
    </w:p>
    <w:p w14:paraId="791A10AD" w14:textId="77777777" w:rsidR="009647E8" w:rsidRPr="00171323" w:rsidRDefault="009647E8" w:rsidP="00A61E8F">
      <w:pPr>
        <w:pStyle w:val="COMParaDecision"/>
        <w:numPr>
          <w:ilvl w:val="0"/>
          <w:numId w:val="28"/>
        </w:numPr>
        <w:ind w:left="709" w:hanging="709"/>
      </w:pPr>
      <w:r w:rsidRPr="00171323">
        <w:t>Habiendo examinado</w:t>
      </w:r>
      <w:r w:rsidRPr="00171323">
        <w:rPr>
          <w:u w:val="none"/>
        </w:rPr>
        <w:t xml:space="preserve"> el documento </w:t>
      </w:r>
      <w:hyperlink r:id="rId12" w:history="1">
        <w:r w:rsidRPr="00171323">
          <w:rPr>
            <w:rStyle w:val="Lienhypertexte"/>
          </w:rPr>
          <w:t>LHE/24/10.GA/5</w:t>
        </w:r>
      </w:hyperlink>
      <w:r w:rsidRPr="00171323">
        <w:rPr>
          <w:u w:val="none"/>
        </w:rPr>
        <w:t>,</w:t>
      </w:r>
    </w:p>
    <w:p w14:paraId="77FEA85E" w14:textId="77777777" w:rsidR="009647E8" w:rsidRPr="00171323" w:rsidRDefault="009647E8" w:rsidP="009647E8">
      <w:pPr>
        <w:pStyle w:val="COMParaDecision"/>
        <w:ind w:left="709" w:hanging="709"/>
      </w:pPr>
      <w:r w:rsidRPr="00171323">
        <w:t>Recordando</w:t>
      </w:r>
      <w:r w:rsidRPr="00171323">
        <w:rPr>
          <w:u w:val="none"/>
        </w:rPr>
        <w:t xml:space="preserve"> el Artículo 30 de la Convención y la Resolución </w:t>
      </w:r>
      <w:hyperlink r:id="rId13" w:history="1">
        <w:r w:rsidRPr="00171323">
          <w:rPr>
            <w:rStyle w:val="Lienhypertexte"/>
          </w:rPr>
          <w:t>6.GA 5</w:t>
        </w:r>
      </w:hyperlink>
      <w:r w:rsidRPr="00171323">
        <w:rPr>
          <w:u w:val="none"/>
        </w:rPr>
        <w:t>,</w:t>
      </w:r>
    </w:p>
    <w:p w14:paraId="7F8E1129" w14:textId="77777777" w:rsidR="009647E8" w:rsidRPr="00171323" w:rsidRDefault="009647E8" w:rsidP="009647E8">
      <w:pPr>
        <w:pStyle w:val="COMParaDecision"/>
        <w:ind w:left="709" w:hanging="709"/>
      </w:pPr>
      <w:r w:rsidRPr="00171323">
        <w:t>Da la bienvenida</w:t>
      </w:r>
      <w:r w:rsidRPr="00171323">
        <w:rPr>
          <w:u w:val="none"/>
        </w:rPr>
        <w:t xml:space="preserve"> a San Marino, que ratificó la Convención durante el período al que se refiere el informe, así como a Libia y al Reino Unido de Gran Bretaña e Irlanda del Norte después del período en cuestión, con lo que el número total de Estados Partes asciende a 183, y anima a los Estados que aún no la han ratificado a que consideren la posibilidad de hacerlo;</w:t>
      </w:r>
    </w:p>
    <w:p w14:paraId="08354B35" w14:textId="77777777" w:rsidR="009647E8" w:rsidRPr="00171323" w:rsidRDefault="009647E8" w:rsidP="009647E8">
      <w:pPr>
        <w:pStyle w:val="COMParaDecision"/>
        <w:ind w:left="709" w:hanging="709"/>
      </w:pPr>
      <w:r w:rsidRPr="00171323">
        <w:t>Toma nota</w:t>
      </w:r>
      <w:r w:rsidRPr="00171323">
        <w:rPr>
          <w:u w:val="none"/>
        </w:rPr>
        <w:t xml:space="preserve"> del informe del Comité a la Asamblea General sobre sus actividades entre enero de 2022 y diciembre de 2023, que figura en el anexo del presente documento, y </w:t>
      </w:r>
      <w:r w:rsidRPr="00171323">
        <w:t>agradece</w:t>
      </w:r>
      <w:r w:rsidRPr="00171323">
        <w:rPr>
          <w:u w:val="none"/>
        </w:rPr>
        <w:t xml:space="preserve"> al Comité su eficaz labor;</w:t>
      </w:r>
    </w:p>
    <w:p w14:paraId="7F92E6B9" w14:textId="77777777" w:rsidR="009647E8" w:rsidRPr="00171323" w:rsidRDefault="009647E8" w:rsidP="009647E8">
      <w:pPr>
        <w:pStyle w:val="COMParaDecision"/>
        <w:ind w:left="709" w:hanging="709"/>
      </w:pPr>
      <w:r w:rsidRPr="00171323">
        <w:t>Felicita</w:t>
      </w:r>
      <w:r w:rsidRPr="00171323">
        <w:rPr>
          <w:u w:val="none"/>
        </w:rPr>
        <w:t xml:space="preserve"> al Comité por la elaboración de la nota de orientación sobre las dimensiones económicas de la salvaguardia del patrimonio cultural inmaterial y </w:t>
      </w:r>
      <w:r w:rsidRPr="00171323">
        <w:t>toma nota</w:t>
      </w:r>
      <w:r w:rsidRPr="00171323">
        <w:rPr>
          <w:u w:val="none"/>
        </w:rPr>
        <w:t xml:space="preserve"> del trabajo en curso en las iniciativas temáticas sobre la salvaguardia del patrimonio cultural inmaterial y el cambio climático, y sobre la salvaguardia del patrimonio cultural inmaterial en contextos urbanos;</w:t>
      </w:r>
    </w:p>
    <w:p w14:paraId="41AA496F" w14:textId="77777777" w:rsidR="009647E8" w:rsidRPr="00171323" w:rsidRDefault="009647E8" w:rsidP="009647E8">
      <w:pPr>
        <w:pStyle w:val="COMParaDecision"/>
        <w:ind w:left="709" w:hanging="709"/>
      </w:pPr>
      <w:r w:rsidRPr="00171323">
        <w:t>Felicita además</w:t>
      </w:r>
      <w:r w:rsidRPr="00171323">
        <w:rPr>
          <w:u w:val="none"/>
        </w:rPr>
        <w:t xml:space="preserve"> al Comité por los avances logrados en relación con la reflexión global sobre una aplicación más amplia del Artículo 18, mediante un proceso de consulta inclusivo con expertos y el grupo de trabajo intergubernamental de composición abierta;</w:t>
      </w:r>
    </w:p>
    <w:p w14:paraId="3CCFF57A" w14:textId="60D18875" w:rsidR="009647E8" w:rsidRPr="00171323" w:rsidRDefault="009647E8" w:rsidP="009647E8">
      <w:pPr>
        <w:pStyle w:val="COMParaDecision"/>
        <w:ind w:left="709" w:hanging="709"/>
      </w:pPr>
      <w:r w:rsidRPr="00171323">
        <w:t>Observa con satisfacción</w:t>
      </w:r>
      <w:r w:rsidRPr="00171323">
        <w:rPr>
          <w:u w:val="none"/>
        </w:rPr>
        <w:t xml:space="preserve"> la mejora de las tasas de presentación en el marco del ciclo en curso de informes periódicos y </w:t>
      </w:r>
      <w:r w:rsidR="00B0400B" w:rsidRPr="00171323">
        <w:t>toma nota</w:t>
      </w:r>
      <w:r w:rsidR="00B0400B" w:rsidRPr="00B4133D">
        <w:rPr>
          <w:u w:val="none"/>
        </w:rPr>
        <w:t xml:space="preserve"> de</w:t>
      </w:r>
      <w:r w:rsidRPr="00171323">
        <w:rPr>
          <w:u w:val="none"/>
        </w:rPr>
        <w:t xml:space="preserve"> la decisión del Comité sobre la propuesta de adaptación de los mecanismos de presentación de informes a un único sistema de presentación mundial como preparación para el Informe Global sobre Políticas Culturales cuatrienal a partir de 2025 (Decisión </w:t>
      </w:r>
      <w:hyperlink r:id="rId14" w:history="1">
        <w:r w:rsidRPr="00171323">
          <w:rPr>
            <w:rStyle w:val="Lienhypertexte"/>
          </w:rPr>
          <w:t>18.COM 7.c</w:t>
        </w:r>
      </w:hyperlink>
      <w:r w:rsidRPr="00171323">
        <w:rPr>
          <w:u w:val="none"/>
        </w:rPr>
        <w:t>);</w:t>
      </w:r>
    </w:p>
    <w:p w14:paraId="11090E1C" w14:textId="77777777" w:rsidR="009647E8" w:rsidRPr="00171323" w:rsidRDefault="009647E8" w:rsidP="009647E8">
      <w:pPr>
        <w:pStyle w:val="COMParaDecision"/>
        <w:ind w:left="709" w:hanging="709"/>
      </w:pPr>
      <w:r w:rsidRPr="00171323">
        <w:t>Además, acoge con satisfacción</w:t>
      </w:r>
      <w:r w:rsidRPr="00171323">
        <w:rPr>
          <w:u w:val="none"/>
        </w:rPr>
        <w:t xml:space="preserve"> el trabajo continuado en las dos prioridades globales de financiación de la Convención, “Fortalecimiento de las capacidades para la salvaguardia del patrimonio cultural inmaterial mediante enfoques multimodales y la contribución al desarrollo sostenible” y “Salvaguardia del patrimonio cultural inmaterial a través de la educación formal y no formal”, en vista de la Agenda 2030 para el Desarrollo Sostenible y la elaboración de la agenda posterior a 2030;</w:t>
      </w:r>
    </w:p>
    <w:p w14:paraId="236EF1E9" w14:textId="29BAB782" w:rsidR="009647E8" w:rsidRPr="00171323" w:rsidRDefault="009647E8" w:rsidP="009647E8">
      <w:pPr>
        <w:pStyle w:val="COMParaDecision"/>
        <w:ind w:left="709" w:hanging="709"/>
      </w:pPr>
      <w:r w:rsidRPr="00171323">
        <w:t>Reconoce</w:t>
      </w:r>
      <w:r w:rsidRPr="00171323">
        <w:rPr>
          <w:u w:val="none"/>
        </w:rPr>
        <w:t xml:space="preserve"> la decisión del Comité de utilizar el procedimiento de supresión recientemente establecido para eliminar parte de un elemento de una de las listas de la Convención, </w:t>
      </w:r>
      <w:r w:rsidR="00B0400B" w:rsidRPr="00171323">
        <w:rPr>
          <w:u w:val="none"/>
        </w:rPr>
        <w:t xml:space="preserve">con el </w:t>
      </w:r>
      <w:r w:rsidR="00687FA7" w:rsidRPr="00171323">
        <w:rPr>
          <w:u w:val="none"/>
        </w:rPr>
        <w:t>respaldo</w:t>
      </w:r>
      <w:r w:rsidR="00B0400B" w:rsidRPr="00171323">
        <w:rPr>
          <w:u w:val="none"/>
        </w:rPr>
        <w:t xml:space="preserve"> del Estado Parte respectivo, y </w:t>
      </w:r>
      <w:r w:rsidRPr="00171323">
        <w:rPr>
          <w:u w:val="none"/>
        </w:rPr>
        <w:t>en consonancia con los principios fundacionales de la UNESCO y los principios de la Convención sobre la dignidad, la igualdad y el respeto mutuo entre los pueblos;</w:t>
      </w:r>
    </w:p>
    <w:p w14:paraId="724331C9" w14:textId="77777777" w:rsidR="009647E8" w:rsidRPr="00171323" w:rsidRDefault="009647E8" w:rsidP="009647E8">
      <w:pPr>
        <w:pStyle w:val="COMParaDecision"/>
        <w:ind w:left="709" w:hanging="709"/>
      </w:pPr>
      <w:r w:rsidRPr="00171323">
        <w:t>Pide</w:t>
      </w:r>
      <w:r w:rsidRPr="00171323">
        <w:rPr>
          <w:u w:val="none"/>
        </w:rPr>
        <w:t xml:space="preserve"> a la </w:t>
      </w:r>
      <w:proofErr w:type="gramStart"/>
      <w:r w:rsidRPr="00171323">
        <w:rPr>
          <w:u w:val="none"/>
        </w:rPr>
        <w:t>Directora General</w:t>
      </w:r>
      <w:proofErr w:type="gramEnd"/>
      <w:r w:rsidRPr="00171323">
        <w:rPr>
          <w:u w:val="none"/>
        </w:rPr>
        <w:t xml:space="preserve"> que transmita este informe a la Conferencia General de la UNESCO, de conformidad con el párrafo 2 del Artículo 30 de la Convención.</w:t>
      </w:r>
    </w:p>
    <w:p w14:paraId="29E83D2E" w14:textId="4CF8CA93" w:rsidR="009647E8" w:rsidRPr="00171323" w:rsidRDefault="009647E8" w:rsidP="009647E8">
      <w:pPr>
        <w:pStyle w:val="COMTitleDecision"/>
        <w:ind w:left="142" w:hanging="142"/>
        <w:rPr>
          <w:rFonts w:eastAsia="SimSun"/>
        </w:rPr>
      </w:pPr>
      <w:r w:rsidRPr="00171323">
        <w:t>RESOLUCIÓN 10.GA 6</w:t>
      </w:r>
    </w:p>
    <w:p w14:paraId="4ACAD725" w14:textId="77777777" w:rsidR="00A61E8F" w:rsidRPr="00171323" w:rsidRDefault="00A61E8F" w:rsidP="00A61E8F">
      <w:pPr>
        <w:pStyle w:val="COMPreambulaDecisions"/>
        <w:ind w:hanging="567"/>
        <w:rPr>
          <w:rFonts w:eastAsia="SimSun"/>
        </w:rPr>
      </w:pPr>
      <w:r w:rsidRPr="00171323">
        <w:t>La Asamblea General,</w:t>
      </w:r>
    </w:p>
    <w:p w14:paraId="62AC8C91" w14:textId="6756C979" w:rsidR="00A61E8F" w:rsidRPr="00171323" w:rsidRDefault="00A61E8F" w:rsidP="00A61E8F">
      <w:pPr>
        <w:pStyle w:val="COMParaDecision"/>
        <w:numPr>
          <w:ilvl w:val="0"/>
          <w:numId w:val="29"/>
        </w:numPr>
        <w:ind w:left="567" w:hanging="567"/>
      </w:pPr>
      <w:r w:rsidRPr="00171323">
        <w:t>Habiendo examinado</w:t>
      </w:r>
      <w:r w:rsidRPr="00171323">
        <w:rPr>
          <w:u w:val="none"/>
        </w:rPr>
        <w:t xml:space="preserve"> el documento </w:t>
      </w:r>
      <w:hyperlink r:id="rId15" w:history="1">
        <w:r w:rsidRPr="00171323">
          <w:rPr>
            <w:rStyle w:val="Lienhypertexte"/>
          </w:rPr>
          <w:t>LHE/24/10.GA/6</w:t>
        </w:r>
      </w:hyperlink>
      <w:r w:rsidRPr="00171323">
        <w:rPr>
          <w:u w:val="none"/>
        </w:rPr>
        <w:t xml:space="preserve"> y sus anexos,</w:t>
      </w:r>
    </w:p>
    <w:p w14:paraId="1099869F" w14:textId="77777777" w:rsidR="00A61E8F" w:rsidRPr="00171323" w:rsidRDefault="00A61E8F" w:rsidP="00A61E8F">
      <w:pPr>
        <w:pStyle w:val="COMParaDecision"/>
        <w:ind w:left="567" w:hanging="567"/>
      </w:pPr>
      <w:r w:rsidRPr="00171323">
        <w:t>Recordando</w:t>
      </w:r>
      <w:r w:rsidRPr="00171323">
        <w:rPr>
          <w:u w:val="none"/>
        </w:rPr>
        <w:t xml:space="preserve"> la Resolución </w:t>
      </w:r>
      <w:hyperlink r:id="rId16" w:history="1">
        <w:r w:rsidRPr="00171323">
          <w:rPr>
            <w:rStyle w:val="Lienhypertexte"/>
          </w:rPr>
          <w:t>9.GA 6</w:t>
        </w:r>
      </w:hyperlink>
      <w:r w:rsidRPr="00171323">
        <w:rPr>
          <w:u w:val="none"/>
        </w:rPr>
        <w:t xml:space="preserve">, así como las Decisiones </w:t>
      </w:r>
      <w:hyperlink r:id="rId17" w:history="1">
        <w:r w:rsidRPr="00171323">
          <w:rPr>
            <w:rStyle w:val="Lienhypertexte"/>
          </w:rPr>
          <w:t>17.COM 15</w:t>
        </w:r>
      </w:hyperlink>
      <w:r w:rsidRPr="00171323">
        <w:rPr>
          <w:u w:val="none"/>
        </w:rPr>
        <w:t xml:space="preserve"> y </w:t>
      </w:r>
      <w:hyperlink r:id="rId18" w:history="1">
        <w:r w:rsidRPr="00171323">
          <w:rPr>
            <w:rStyle w:val="Lienhypertexte"/>
          </w:rPr>
          <w:t>18.COM 7.c</w:t>
        </w:r>
      </w:hyperlink>
      <w:r w:rsidRPr="00171323">
        <w:rPr>
          <w:rStyle w:val="Lienhypertexte"/>
          <w:u w:val="none"/>
        </w:rPr>
        <w:t>,</w:t>
      </w:r>
    </w:p>
    <w:p w14:paraId="6CCE4379" w14:textId="77777777" w:rsidR="00A61E8F" w:rsidRPr="00171323" w:rsidRDefault="00A61E8F" w:rsidP="00A61E8F">
      <w:pPr>
        <w:pStyle w:val="COMParaDecision"/>
        <w:ind w:left="567" w:hanging="567"/>
      </w:pPr>
      <w:r w:rsidRPr="00171323">
        <w:t>Recordando también</w:t>
      </w:r>
      <w:r w:rsidRPr="00171323">
        <w:rPr>
          <w:u w:val="none"/>
        </w:rPr>
        <w:t xml:space="preserve"> la Resolución </w:t>
      </w:r>
      <w:hyperlink r:id="rId19" w:history="1">
        <w:r w:rsidRPr="00171323">
          <w:rPr>
            <w:rStyle w:val="Lienhypertexte"/>
          </w:rPr>
          <w:t>42 C/81</w:t>
        </w:r>
      </w:hyperlink>
      <w:r w:rsidRPr="00171323">
        <w:rPr>
          <w:u w:val="none"/>
        </w:rPr>
        <w:t xml:space="preserve"> de la Conferencia General y </w:t>
      </w:r>
      <w:hyperlink r:id="rId20" w:history="1">
        <w:r w:rsidRPr="00171323">
          <w:rPr>
            <w:rStyle w:val="Lienhypertexte"/>
          </w:rPr>
          <w:t>219 EX/Decisión 13</w:t>
        </w:r>
      </w:hyperlink>
      <w:r w:rsidRPr="00171323">
        <w:rPr>
          <w:u w:val="none"/>
        </w:rPr>
        <w:t xml:space="preserve"> del Consejo Ejecutivo de la UNESCO, así como las evaluaciones del IOS de 2021, acerca de la acción de la UNESCO en el marco de la Convención de 2003, y de 2024, acerca de los informes periódicos de la UNESCO sobre las convenciones y recomendaciones del Sector de Cultura,</w:t>
      </w:r>
    </w:p>
    <w:p w14:paraId="3FFF5E43" w14:textId="77777777" w:rsidR="00A61E8F" w:rsidRPr="00171323" w:rsidRDefault="00A61E8F" w:rsidP="00A61E8F">
      <w:pPr>
        <w:pStyle w:val="COMParaDecision"/>
        <w:ind w:left="567" w:hanging="567"/>
      </w:pPr>
      <w:r w:rsidRPr="00171323">
        <w:lastRenderedPageBreak/>
        <w:t>Encomia</w:t>
      </w:r>
      <w:r w:rsidRPr="00171323">
        <w:rPr>
          <w:u w:val="none"/>
        </w:rPr>
        <w:t xml:space="preserve"> a la Secretaría por el continuo apoyo prestado a la buena gobernanza de la Convención, mediante la organización eficiente de las reuniones estatutarias y la gestión de los mecanismos de cooperación internacional;</w:t>
      </w:r>
    </w:p>
    <w:p w14:paraId="42CFF9FF" w14:textId="6EAC9010" w:rsidR="00A61E8F" w:rsidRPr="00171323" w:rsidRDefault="00A61E8F" w:rsidP="00A61E8F">
      <w:pPr>
        <w:pStyle w:val="COMParaDecision"/>
        <w:ind w:left="567" w:hanging="567"/>
      </w:pPr>
      <w:r w:rsidRPr="00171323">
        <w:t>Encomia también</w:t>
      </w:r>
      <w:r w:rsidRPr="00171323">
        <w:rPr>
          <w:u w:val="none"/>
        </w:rPr>
        <w:t xml:space="preserve"> a la Secretaría por la aplicación de las Directrices Operativas revisadas tras la conclusión de la reflexión global sobre los mecanismos de inscripción en las listas de la Convención, incluido su apoyo al Órgano de Evaluación, y </w:t>
      </w:r>
      <w:r w:rsidRPr="00171323">
        <w:t>toma nota</w:t>
      </w:r>
      <w:r w:rsidRPr="00171323">
        <w:rPr>
          <w:u w:val="none"/>
        </w:rPr>
        <w:t xml:space="preserve"> de los progresos realizados </w:t>
      </w:r>
      <w:r w:rsidR="001E6CB1" w:rsidRPr="00171323">
        <w:rPr>
          <w:u w:val="none"/>
        </w:rPr>
        <w:t xml:space="preserve">y de los desafíos pendientes </w:t>
      </w:r>
      <w:r w:rsidRPr="00171323">
        <w:rPr>
          <w:u w:val="none"/>
        </w:rPr>
        <w:t>en la reflexión sobre una aplicación más amplia del Artículo 18;</w:t>
      </w:r>
    </w:p>
    <w:p w14:paraId="3FB67451" w14:textId="77777777" w:rsidR="00A61E8F" w:rsidRPr="00171323" w:rsidRDefault="00A61E8F" w:rsidP="00A61E8F">
      <w:pPr>
        <w:pStyle w:val="COMParaDecision"/>
        <w:ind w:left="567" w:hanging="567"/>
      </w:pPr>
      <w:r w:rsidRPr="00171323">
        <w:t>Reconoce</w:t>
      </w:r>
      <w:r w:rsidRPr="00171323">
        <w:rPr>
          <w:u w:val="none"/>
        </w:rPr>
        <w:t xml:space="preserve"> la mayor sistematización del mecanismo de asistencia internacional y </w:t>
      </w:r>
      <w:r w:rsidRPr="00171323">
        <w:t>acoge con beneplácito</w:t>
      </w:r>
      <w:r w:rsidRPr="00171323">
        <w:rPr>
          <w:u w:val="none"/>
        </w:rPr>
        <w:t xml:space="preserve"> su expansión a un grupo más amplio de países receptores de asistencia;</w:t>
      </w:r>
    </w:p>
    <w:p w14:paraId="5599289B" w14:textId="77777777" w:rsidR="00A61E8F" w:rsidRPr="00171323" w:rsidRDefault="00A61E8F" w:rsidP="00A61E8F">
      <w:pPr>
        <w:pStyle w:val="COMParaDecision"/>
        <w:ind w:left="567" w:hanging="567"/>
      </w:pPr>
      <w:r w:rsidRPr="00171323">
        <w:t>Toma nota con satisfacción</w:t>
      </w:r>
      <w:r w:rsidRPr="00171323">
        <w:rPr>
          <w:u w:val="none"/>
        </w:rPr>
        <w:t xml:space="preserve"> de la mejora sustancial de las tasas de reporte de informes periódicos de Europa, los Estados árabes y África;</w:t>
      </w:r>
    </w:p>
    <w:p w14:paraId="6FB7B2B3" w14:textId="77777777" w:rsidR="00A61E8F" w:rsidRPr="00171323" w:rsidRDefault="00A61E8F" w:rsidP="00A61E8F">
      <w:pPr>
        <w:pStyle w:val="COMParaDecision"/>
        <w:ind w:left="567" w:hanging="567"/>
      </w:pPr>
      <w:r w:rsidRPr="00171323">
        <w:t>Aprecia</w:t>
      </w:r>
      <w:r w:rsidRPr="00171323">
        <w:rPr>
          <w:u w:val="none"/>
        </w:rPr>
        <w:t xml:space="preserve"> la ejecución continuada del programa mundial de fortalecimiento de capacidades y su reorientación hacia un enfoque multimodal e intersectorial, y </w:t>
      </w:r>
      <w:r w:rsidRPr="00171323">
        <w:t>alienta</w:t>
      </w:r>
      <w:r w:rsidRPr="00171323">
        <w:rPr>
          <w:u w:val="none"/>
        </w:rPr>
        <w:t xml:space="preserve"> a la Secretaría a seguir mejorando sus sinergias dentro de la UNESCO y del sistema de las Naciones Unidas en general, con el objetivo de integrar el patrimonio vivo en la agenda internacional de desarrollo posterior a 2030;</w:t>
      </w:r>
    </w:p>
    <w:p w14:paraId="754F688C" w14:textId="77777777" w:rsidR="00A61E8F" w:rsidRPr="00171323" w:rsidRDefault="00A61E8F" w:rsidP="00A61E8F">
      <w:pPr>
        <w:pStyle w:val="COMParaDecision"/>
        <w:ind w:left="567" w:hanging="567"/>
      </w:pPr>
      <w:r w:rsidRPr="00171323">
        <w:t>Aprecia también</w:t>
      </w:r>
      <w:r w:rsidRPr="00171323">
        <w:rPr>
          <w:u w:val="none"/>
        </w:rPr>
        <w:t xml:space="preserve"> los progresos realizados en el marco de las iniciativas temáticas de la Convención, en particular en relación con sus dimensiones económicas, el cambio climático y los contextos urbanos, e </w:t>
      </w:r>
      <w:r w:rsidRPr="00171323">
        <w:t>invita</w:t>
      </w:r>
      <w:r w:rsidRPr="00171323">
        <w:rPr>
          <w:u w:val="none"/>
        </w:rPr>
        <w:t xml:space="preserve"> a la Secretaría a proseguir con esa labor, así como en otras esferas que el Comité pueda solicitar, en consonancia con los ámbitos de acción destacados en la Visión de Seúl para el Futuro de la Salvaguardia del Patrimonio Vivo para el Desarrollo Sostenible y la Paz;</w:t>
      </w:r>
    </w:p>
    <w:p w14:paraId="026AB5E1" w14:textId="77777777" w:rsidR="00A61E8F" w:rsidRPr="00171323" w:rsidRDefault="00A61E8F" w:rsidP="00A61E8F">
      <w:pPr>
        <w:pStyle w:val="COMParaDecision"/>
        <w:ind w:left="567" w:hanging="567"/>
      </w:pPr>
      <w:r w:rsidRPr="00171323">
        <w:t>Reconoce</w:t>
      </w:r>
      <w:r w:rsidRPr="00171323">
        <w:rPr>
          <w:u w:val="none"/>
        </w:rPr>
        <w:t xml:space="preserve"> los progresos realizados en relación con las doce recomendaciones formuladas por el IOS en su evaluación de 2021 acerca de la acción de la UNESCO en el marco de la Convención de 2003;</w:t>
      </w:r>
    </w:p>
    <w:p w14:paraId="52D02552" w14:textId="77777777" w:rsidR="00A61E8F" w:rsidRPr="00171323" w:rsidRDefault="00A61E8F" w:rsidP="00A61E8F">
      <w:pPr>
        <w:pStyle w:val="COMParaDecision"/>
        <w:ind w:left="567" w:hanging="567"/>
      </w:pPr>
      <w:r w:rsidRPr="00171323">
        <w:t>Toma nota</w:t>
      </w:r>
      <w:r w:rsidRPr="00171323">
        <w:rPr>
          <w:u w:val="none"/>
        </w:rPr>
        <w:t xml:space="preserve"> de lo siguiente, en lo que respecta al futuro desarrollo de la Convención:</w:t>
      </w:r>
    </w:p>
    <w:p w14:paraId="1634978E" w14:textId="77777777" w:rsidR="00A61E8F" w:rsidRPr="00171323" w:rsidRDefault="00A61E8F" w:rsidP="00171323">
      <w:pPr>
        <w:pStyle w:val="COMParaDecision"/>
        <w:numPr>
          <w:ilvl w:val="0"/>
          <w:numId w:val="26"/>
        </w:numPr>
        <w:ind w:left="990" w:hanging="450"/>
      </w:pPr>
      <w:r w:rsidRPr="00171323">
        <w:rPr>
          <w:u w:val="none"/>
        </w:rPr>
        <w:t xml:space="preserve">La Visión de Seúl para el Futuro de la Salvaguardia del Patrimonio Vivo para el Desarrollo Sostenible y la Paz, así como las aportaciones realizadas por los </w:t>
      </w:r>
      <w:proofErr w:type="gramStart"/>
      <w:r w:rsidRPr="00171323">
        <w:rPr>
          <w:u w:val="none"/>
        </w:rPr>
        <w:t>Estados Partes</w:t>
      </w:r>
      <w:proofErr w:type="gramEnd"/>
      <w:r w:rsidRPr="00171323">
        <w:rPr>
          <w:u w:val="none"/>
        </w:rPr>
        <w:t xml:space="preserve"> a través de la encuesta, y </w:t>
      </w:r>
      <w:r w:rsidRPr="00171323">
        <w:t>exhorta</w:t>
      </w:r>
      <w:r w:rsidRPr="00171323">
        <w:rPr>
          <w:u w:val="none"/>
        </w:rPr>
        <w:t xml:space="preserve"> a las partes interesadas en la Convención a que tengan en cuenta los principales ámbitos de acción propuestos en sus esfuerzos de salvaguardia para el futuro desarrollo de la Convención;</w:t>
      </w:r>
    </w:p>
    <w:p w14:paraId="286634FD" w14:textId="43B917BD" w:rsidR="001E6CB1" w:rsidRPr="00171323" w:rsidRDefault="001E6CB1" w:rsidP="00171323">
      <w:pPr>
        <w:pStyle w:val="COMParaDecision"/>
        <w:numPr>
          <w:ilvl w:val="0"/>
          <w:numId w:val="26"/>
        </w:numPr>
        <w:ind w:left="990" w:hanging="450"/>
      </w:pPr>
      <w:r w:rsidRPr="00171323">
        <w:rPr>
          <w:u w:val="none"/>
        </w:rPr>
        <w:t xml:space="preserve">El llamado a la acción “El espíritu de Nápoles” lanzado durante la Conferencia de la UNESCO sobre el patrimonio cultural en el siglo 21, </w:t>
      </w:r>
      <w:r w:rsidR="00CA7DB9" w:rsidRPr="00171323">
        <w:rPr>
          <w:u w:val="none"/>
        </w:rPr>
        <w:t>y</w:t>
      </w:r>
      <w:r w:rsidRPr="00171323">
        <w:rPr>
          <w:u w:val="none"/>
        </w:rPr>
        <w:t xml:space="preserve"> alienta a todos los Estados miembros de la UNESCO y las partes interesadas a adoptar políticas y estrategias públicas fundadas en los principios del llamado a la acción y a promover enfoques </w:t>
      </w:r>
      <w:r w:rsidR="00CA7DB9" w:rsidRPr="00171323">
        <w:rPr>
          <w:u w:val="none"/>
        </w:rPr>
        <w:t>holísticos</w:t>
      </w:r>
      <w:r w:rsidRPr="00171323">
        <w:rPr>
          <w:u w:val="none"/>
        </w:rPr>
        <w:t xml:space="preserve"> para salvaguardar el patrimonio material e inmaterial</w:t>
      </w:r>
      <w:r w:rsidR="00687FA7" w:rsidRPr="00171323">
        <w:rPr>
          <w:u w:val="none"/>
        </w:rPr>
        <w:t>;</w:t>
      </w:r>
    </w:p>
    <w:p w14:paraId="0900BACF" w14:textId="29F6B177" w:rsidR="008D33AD" w:rsidRPr="00171323" w:rsidRDefault="00A61E8F" w:rsidP="00171323">
      <w:pPr>
        <w:pStyle w:val="COMParaDecision"/>
        <w:numPr>
          <w:ilvl w:val="0"/>
          <w:numId w:val="26"/>
        </w:numPr>
        <w:ind w:left="990"/>
      </w:pPr>
      <w:r w:rsidRPr="00171323">
        <w:rPr>
          <w:u w:val="none"/>
        </w:rPr>
        <w:t xml:space="preserve">La Declaración Final de la Conferencia Mundial de la UNESCO sobre las Políticas Culturales y el Desarrollo Sostenible - MONDIACULT 2022, así como la evaluación del IOS de 2024 acerca de los informes periódicos de la UNESCO sobre las convenciones y recomendaciones del Sector de Cultura, y </w:t>
      </w:r>
      <w:r w:rsidR="001E6CB1" w:rsidRPr="00171323">
        <w:t>alienta</w:t>
      </w:r>
      <w:r w:rsidRPr="00171323">
        <w:rPr>
          <w:u w:val="none"/>
        </w:rPr>
        <w:t xml:space="preserve"> las medidas transitorias para racionalizar los informes periódicos hacia el sistema único de presentación global, incluyendo para la preparación del Informe Mundial de la UNESCO sobre Políticas Culturales, tal como fueron endosadas por la decimoctava sesión del Comité;</w:t>
      </w:r>
    </w:p>
    <w:p w14:paraId="7023B650" w14:textId="5A65DB42" w:rsidR="00A61E8F" w:rsidRPr="00171323" w:rsidRDefault="00A61E8F" w:rsidP="00171323">
      <w:pPr>
        <w:pStyle w:val="COMParaDecision"/>
        <w:numPr>
          <w:ilvl w:val="0"/>
          <w:numId w:val="26"/>
        </w:numPr>
        <w:ind w:left="993" w:hanging="453"/>
      </w:pPr>
      <w:r w:rsidRPr="00171323">
        <w:rPr>
          <w:u w:val="none"/>
        </w:rPr>
        <w:t xml:space="preserve">Una invitación cursada por la Conferencia General de la UNESCO para contribuir al proceso de reflexión estratégica sobre las futuras orientaciones y prioridades programáticas para el cuatrienio 2026-2029, </w:t>
      </w:r>
      <w:r w:rsidRPr="00171323">
        <w:t>afirma</w:t>
      </w:r>
      <w:r w:rsidRPr="00171323">
        <w:rPr>
          <w:u w:val="none"/>
        </w:rPr>
        <w:t xml:space="preserve"> la importancia estratégica del patrimonio vivo para el desarrollo humano sostenible en las áreas de competencia de la Organización, y </w:t>
      </w:r>
      <w:r w:rsidRPr="00171323">
        <w:t>pide</w:t>
      </w:r>
      <w:r w:rsidRPr="00171323">
        <w:rPr>
          <w:u w:val="none"/>
        </w:rPr>
        <w:t xml:space="preserve"> que la Secretaría refleje los debates entablados durante la presente reunión</w:t>
      </w:r>
      <w:r w:rsidR="00CA7DB9" w:rsidRPr="00171323">
        <w:rPr>
          <w:u w:val="none"/>
        </w:rPr>
        <w:t>,</w:t>
      </w:r>
      <w:r w:rsidRPr="00171323">
        <w:rPr>
          <w:u w:val="none"/>
        </w:rPr>
        <w:t xml:space="preserve"> </w:t>
      </w:r>
      <w:r w:rsidR="001E6CB1" w:rsidRPr="00171323">
        <w:rPr>
          <w:u w:val="none"/>
        </w:rPr>
        <w:t>así como las contribuciones que se reciban por escrito después de la reunión</w:t>
      </w:r>
      <w:r w:rsidR="00CA7DB9" w:rsidRPr="00171323">
        <w:rPr>
          <w:u w:val="none"/>
        </w:rPr>
        <w:t>,</w:t>
      </w:r>
      <w:r w:rsidR="001E6CB1" w:rsidRPr="00171323">
        <w:rPr>
          <w:u w:val="none"/>
        </w:rPr>
        <w:t xml:space="preserve"> </w:t>
      </w:r>
      <w:r w:rsidRPr="00171323">
        <w:rPr>
          <w:u w:val="none"/>
        </w:rPr>
        <w:lastRenderedPageBreak/>
        <w:t>en la contribución del Sector de Cultura a las propuestas preliminares de la Directora General sobre el proyecto de 43 C/5;</w:t>
      </w:r>
    </w:p>
    <w:p w14:paraId="04BF9D15" w14:textId="21937DFF" w:rsidR="00A61E8F" w:rsidRPr="00171323" w:rsidRDefault="00A61E8F" w:rsidP="00171323">
      <w:pPr>
        <w:pStyle w:val="COMParaDecision"/>
        <w:ind w:left="567" w:hanging="567"/>
      </w:pPr>
      <w:r w:rsidRPr="00171323">
        <w:t>Pide</w:t>
      </w:r>
      <w:r w:rsidRPr="00171323">
        <w:rPr>
          <w:u w:val="none"/>
        </w:rPr>
        <w:t xml:space="preserve"> que la Secretaría informe sobre sus actividades durante el periodo comprendido entre enero de 2024 y diciembre de 2025 para que la Asamblea General las examine en su decimoprimera reunión.</w:t>
      </w:r>
    </w:p>
    <w:p w14:paraId="0730328E" w14:textId="0867F421" w:rsidR="00A61E8F" w:rsidRPr="00171323" w:rsidRDefault="00A61E8F" w:rsidP="00A61E8F">
      <w:pPr>
        <w:pStyle w:val="COMTitleDecision"/>
        <w:ind w:left="142" w:hanging="142"/>
      </w:pPr>
      <w:r w:rsidRPr="00171323">
        <w:t>RESOLUCIÓN 10.GA 7</w:t>
      </w:r>
    </w:p>
    <w:p w14:paraId="09C8FC31" w14:textId="77777777" w:rsidR="00A61E8F" w:rsidRPr="00171323" w:rsidRDefault="00A61E8F" w:rsidP="00A61E8F">
      <w:pPr>
        <w:pStyle w:val="COMPreambulaDecisions"/>
        <w:ind w:hanging="567"/>
        <w:rPr>
          <w:rFonts w:eastAsia="SimSun"/>
        </w:rPr>
      </w:pPr>
      <w:r w:rsidRPr="00171323">
        <w:t>La Asamblea General,</w:t>
      </w:r>
    </w:p>
    <w:p w14:paraId="7E7F98B2" w14:textId="77777777" w:rsidR="00A61E8F" w:rsidRPr="00171323" w:rsidRDefault="00A61E8F" w:rsidP="00DC52F5">
      <w:pPr>
        <w:pStyle w:val="COMParaDecision"/>
        <w:numPr>
          <w:ilvl w:val="0"/>
          <w:numId w:val="31"/>
        </w:numPr>
        <w:ind w:left="709" w:hanging="709"/>
      </w:pPr>
      <w:r w:rsidRPr="00171323">
        <w:t>Habiendo examinado</w:t>
      </w:r>
      <w:r w:rsidRPr="00171323">
        <w:rPr>
          <w:u w:val="none"/>
        </w:rPr>
        <w:t xml:space="preserve"> el documento </w:t>
      </w:r>
      <w:hyperlink r:id="rId21" w:history="1">
        <w:r w:rsidRPr="00DC52F5">
          <w:rPr>
            <w:rStyle w:val="Lienhypertexte"/>
          </w:rPr>
          <w:t>LHE/24/10.GA/7</w:t>
        </w:r>
        <w:r w:rsidRPr="00DC52F5">
          <w:rPr>
            <w:rStyle w:val="Lienhypertexte"/>
            <w:u w:val="none"/>
          </w:rPr>
          <w:t> </w:t>
        </w:r>
      </w:hyperlink>
      <w:r w:rsidRPr="00171323">
        <w:rPr>
          <w:u w:val="none"/>
        </w:rPr>
        <w:t>y su anexo,</w:t>
      </w:r>
    </w:p>
    <w:p w14:paraId="0011EE03" w14:textId="77777777" w:rsidR="00A61E8F" w:rsidRPr="00171323" w:rsidRDefault="00A61E8F" w:rsidP="00A61E8F">
      <w:pPr>
        <w:pStyle w:val="COMParaDecision"/>
        <w:ind w:left="709" w:hanging="709"/>
      </w:pPr>
      <w:r w:rsidRPr="00171323">
        <w:t>Recordando</w:t>
      </w:r>
      <w:r w:rsidRPr="00171323">
        <w:rPr>
          <w:u w:val="none"/>
        </w:rPr>
        <w:t xml:space="preserve"> la Resolución </w:t>
      </w:r>
      <w:hyperlink r:id="rId22" w:history="1">
        <w:r w:rsidRPr="00171323">
          <w:rPr>
            <w:rStyle w:val="Lienhypertexte"/>
          </w:rPr>
          <w:t>9.GA 9</w:t>
        </w:r>
      </w:hyperlink>
      <w:r w:rsidRPr="00171323">
        <w:rPr>
          <w:u w:val="none"/>
        </w:rPr>
        <w:t xml:space="preserve">, así como las Decisiones </w:t>
      </w:r>
      <w:hyperlink r:id="rId23" w:history="1">
        <w:r w:rsidRPr="00171323">
          <w:rPr>
            <w:rStyle w:val="Lienhypertexte"/>
          </w:rPr>
          <w:t>16.COM 14</w:t>
        </w:r>
      </w:hyperlink>
      <w:r w:rsidRPr="00171323">
        <w:rPr>
          <w:u w:val="none"/>
        </w:rPr>
        <w:t xml:space="preserve">, </w:t>
      </w:r>
      <w:hyperlink r:id="rId24" w:history="1">
        <w:r w:rsidRPr="00171323">
          <w:rPr>
            <w:rStyle w:val="Lienhypertexte"/>
          </w:rPr>
          <w:t>17.COM 7</w:t>
        </w:r>
      </w:hyperlink>
      <w:r w:rsidRPr="00171323">
        <w:rPr>
          <w:u w:val="none"/>
        </w:rPr>
        <w:t xml:space="preserve">, </w:t>
      </w:r>
      <w:hyperlink r:id="rId25" w:history="1">
        <w:r w:rsidRPr="00171323">
          <w:rPr>
            <w:rStyle w:val="Lienhypertexte"/>
          </w:rPr>
          <w:t>18.COM 10</w:t>
        </w:r>
      </w:hyperlink>
      <w:r w:rsidRPr="00171323">
        <w:rPr>
          <w:rStyle w:val="Lienhypertexte"/>
          <w:u w:val="none"/>
        </w:rPr>
        <w:t xml:space="preserve"> </w:t>
      </w:r>
      <w:r w:rsidRPr="00171323">
        <w:rPr>
          <w:u w:val="none"/>
        </w:rPr>
        <w:t xml:space="preserve">y </w:t>
      </w:r>
      <w:hyperlink r:id="rId26" w:history="1">
        <w:r w:rsidRPr="00171323">
          <w:rPr>
            <w:rStyle w:val="Lienhypertexte"/>
          </w:rPr>
          <w:t>18.COM 11</w:t>
        </w:r>
      </w:hyperlink>
      <w:r w:rsidRPr="00171323">
        <w:rPr>
          <w:rStyle w:val="Lienhypertexte"/>
          <w:u w:val="none"/>
        </w:rPr>
        <w:t>,</w:t>
      </w:r>
    </w:p>
    <w:p w14:paraId="3F0C7BB6" w14:textId="77777777" w:rsidR="00A61E8F" w:rsidRPr="00171323" w:rsidRDefault="00A61E8F" w:rsidP="00A61E8F">
      <w:pPr>
        <w:pStyle w:val="COMParaDecision"/>
        <w:keepNext/>
        <w:ind w:left="709" w:hanging="709"/>
      </w:pPr>
      <w:r w:rsidRPr="00171323">
        <w:t>Toma nota</w:t>
      </w:r>
      <w:r w:rsidRPr="00171323">
        <w:rPr>
          <w:u w:val="none"/>
        </w:rPr>
        <w:t xml:space="preserve"> de las enmiendas propuestas a las Directrices Operativas relativas a los criterios de selección para el Registro de Buenas Prácticas de Salvaguardia, endosadas por la decimoctava reunión del Comité y basadas en las recomendaciones del grupo de trabajo intergubernamental de composición abierta;</w:t>
      </w:r>
    </w:p>
    <w:p w14:paraId="5CF2D433" w14:textId="77777777" w:rsidR="00A61E8F" w:rsidRPr="00171323" w:rsidRDefault="00A61E8F" w:rsidP="00A61E8F">
      <w:pPr>
        <w:pStyle w:val="COMParaDecision"/>
        <w:ind w:left="709" w:hanging="709"/>
      </w:pPr>
      <w:r w:rsidRPr="00171323">
        <w:t>Agradece</w:t>
      </w:r>
      <w:r w:rsidRPr="00171323">
        <w:rPr>
          <w:u w:val="none"/>
        </w:rPr>
        <w:t xml:space="preserve"> a Suecia por haber apoyado la reflexión sobre una aplicación más amplia del Artículo 18 de la Convención;</w:t>
      </w:r>
    </w:p>
    <w:p w14:paraId="6AC3959F" w14:textId="77777777" w:rsidR="00A61E8F" w:rsidRPr="00171323" w:rsidRDefault="00A61E8F" w:rsidP="00A61E8F">
      <w:pPr>
        <w:pStyle w:val="COMParaDecision"/>
        <w:ind w:left="709" w:hanging="709"/>
        <w:rPr>
          <w:u w:val="none"/>
        </w:rPr>
      </w:pPr>
      <w:r w:rsidRPr="00171323">
        <w:t>Expresa su agradecimiento</w:t>
      </w:r>
      <w:r w:rsidRPr="00171323">
        <w:rPr>
          <w:u w:val="none"/>
        </w:rPr>
        <w:t xml:space="preserve"> al grupo de trabajo intergubernamental de composición abierta y a los expertos que participaron en la consulta por su labor y reflexión sobre cómo mejorar el acceso al Registro de Buenas Prácticas de Salvaguardia y aumentar su visibilidad;</w:t>
      </w:r>
    </w:p>
    <w:p w14:paraId="0715B037" w14:textId="5F0586C4" w:rsidR="001E6CB1" w:rsidRPr="00171323" w:rsidRDefault="001E6CB1" w:rsidP="00171323">
      <w:pPr>
        <w:pStyle w:val="COMParaDecision"/>
        <w:numPr>
          <w:ilvl w:val="0"/>
          <w:numId w:val="0"/>
        </w:numPr>
        <w:ind w:left="720" w:hanging="720"/>
        <w:rPr>
          <w:u w:val="none"/>
        </w:rPr>
      </w:pPr>
      <w:r w:rsidRPr="00171323">
        <w:rPr>
          <w:u w:val="none"/>
        </w:rPr>
        <w:t>5</w:t>
      </w:r>
      <w:r w:rsidR="00E47BC5" w:rsidRPr="00171323">
        <w:rPr>
          <w:u w:val="none"/>
        </w:rPr>
        <w:t>.</w:t>
      </w:r>
      <w:r w:rsidRPr="00171323">
        <w:rPr>
          <w:u w:val="none"/>
        </w:rPr>
        <w:t xml:space="preserve">bis </w:t>
      </w:r>
      <w:r w:rsidR="00E47BC5" w:rsidRPr="00171323">
        <w:rPr>
          <w:u w:val="none"/>
        </w:rPr>
        <w:tab/>
      </w:r>
      <w:r w:rsidRPr="00171323">
        <w:t>Pide</w:t>
      </w:r>
      <w:r w:rsidRPr="00171323">
        <w:rPr>
          <w:u w:val="none"/>
        </w:rPr>
        <w:t xml:space="preserve"> que la Secretaria, al Comité y al Órgano de Evaluación exploren los medios de reflejar plenamente los resultados de la reflexión global sobre los mecanismos de inscripción en las listas de la Convención (2018-2022) y la reflexión en curso sobre una implementación más amplia del artículo 18 de la Convención, a fin de garantizar que el Registro de Buenas Prácticas de Salvaguardia goce de un número creciente y de una diversidad de experiencias de salvaguardia</w:t>
      </w:r>
      <w:r w:rsidR="00CA7DB9" w:rsidRPr="00171323">
        <w:rPr>
          <w:u w:val="none"/>
        </w:rPr>
        <w:t>,</w:t>
      </w:r>
      <w:r w:rsidRPr="00171323">
        <w:rPr>
          <w:u w:val="none"/>
        </w:rPr>
        <w:t xml:space="preserve"> y </w:t>
      </w:r>
      <w:r w:rsidR="00CA7DB9" w:rsidRPr="00171323">
        <w:rPr>
          <w:u w:val="none"/>
        </w:rPr>
        <w:t xml:space="preserve">que </w:t>
      </w:r>
      <w:r w:rsidRPr="00171323">
        <w:rPr>
          <w:u w:val="none"/>
        </w:rPr>
        <w:t>report</w:t>
      </w:r>
      <w:r w:rsidR="00CA7DB9" w:rsidRPr="00171323">
        <w:rPr>
          <w:u w:val="none"/>
        </w:rPr>
        <w:t>e</w:t>
      </w:r>
      <w:r w:rsidRPr="00171323">
        <w:rPr>
          <w:u w:val="none"/>
        </w:rPr>
        <w:t xml:space="preserve"> sobre los resultados de esta reflexión en la próxima reunión de la Asamblea General</w:t>
      </w:r>
      <w:r w:rsidR="00E47BC5" w:rsidRPr="00171323">
        <w:rPr>
          <w:u w:val="none"/>
        </w:rPr>
        <w:t>;</w:t>
      </w:r>
    </w:p>
    <w:p w14:paraId="6C4FE095" w14:textId="77777777" w:rsidR="00A61E8F" w:rsidRPr="00171323" w:rsidRDefault="00A61E8F" w:rsidP="00A61E8F">
      <w:pPr>
        <w:pStyle w:val="COMParaDecision"/>
        <w:ind w:left="709" w:hanging="709"/>
      </w:pPr>
      <w:r w:rsidRPr="00171323">
        <w:t>Aprueba</w:t>
      </w:r>
      <w:r w:rsidRPr="00171323">
        <w:rPr>
          <w:u w:val="none"/>
        </w:rPr>
        <w:t xml:space="preserve"> las enmiendas a las Directrices Operativas que figuran en la sección I del anexo de la presente Resolución;</w:t>
      </w:r>
    </w:p>
    <w:p w14:paraId="54EEBBB2" w14:textId="77777777" w:rsidR="00A61E8F" w:rsidRPr="00171323" w:rsidRDefault="00A61E8F" w:rsidP="00A61E8F">
      <w:pPr>
        <w:pStyle w:val="COMParaDecision"/>
        <w:ind w:left="709" w:hanging="709"/>
        <w:rPr>
          <w:u w:val="none"/>
        </w:rPr>
      </w:pPr>
      <w:r w:rsidRPr="00171323">
        <w:t>Toma nota</w:t>
      </w:r>
      <w:r w:rsidRPr="00171323">
        <w:rPr>
          <w:u w:val="none"/>
        </w:rPr>
        <w:t xml:space="preserve"> de las enmiendas propuestas a las Directrices Operativas para ampliar el alcance de la asistencia internacional preparatoria, endosadas por la decimoctava reunión del Comité;</w:t>
      </w:r>
    </w:p>
    <w:p w14:paraId="65A38503" w14:textId="0C699743" w:rsidR="00A61E8F" w:rsidRPr="00171323" w:rsidRDefault="00A61E8F" w:rsidP="00A61E8F">
      <w:pPr>
        <w:pStyle w:val="COMParaDecision"/>
        <w:ind w:left="709" w:hanging="709"/>
        <w:rPr>
          <w:sz w:val="24"/>
          <w:szCs w:val="24"/>
          <w:u w:val="none"/>
        </w:rPr>
      </w:pPr>
      <w:r w:rsidRPr="00171323">
        <w:t>Alienta</w:t>
      </w:r>
      <w:r w:rsidRPr="00171323">
        <w:rPr>
          <w:u w:val="none"/>
        </w:rPr>
        <w:t xml:space="preserve"> a los Estados Partes </w:t>
      </w:r>
      <w:r w:rsidRPr="00171323">
        <w:rPr>
          <w:rStyle w:val="Aucun"/>
          <w:u w:val="none"/>
        </w:rPr>
        <w:t>elegibles</w:t>
      </w:r>
      <w:r w:rsidRPr="00171323">
        <w:rPr>
          <w:u w:val="none"/>
        </w:rPr>
        <w:t xml:space="preserve"> que no dispongan de un elemento </w:t>
      </w:r>
      <w:r w:rsidR="001E6CB1" w:rsidRPr="00171323">
        <w:rPr>
          <w:u w:val="none"/>
        </w:rPr>
        <w:t>del patrimonio cultural inmaterial presente en su territorio</w:t>
      </w:r>
      <w:r w:rsidR="001E6CB1" w:rsidRPr="00171323" w:rsidDel="001E6CB1">
        <w:rPr>
          <w:u w:val="none"/>
        </w:rPr>
        <w:t xml:space="preserve"> </w:t>
      </w:r>
      <w:r w:rsidRPr="00171323">
        <w:rPr>
          <w:u w:val="none"/>
        </w:rPr>
        <w:t xml:space="preserve">inscrito en las listas de la Convención </w:t>
      </w:r>
      <w:r w:rsidR="00687FA7" w:rsidRPr="00171323">
        <w:rPr>
          <w:u w:val="none"/>
        </w:rPr>
        <w:t xml:space="preserve">(a excepción de los elementos propuestos en el marco de candidaturas multinacionales) </w:t>
      </w:r>
      <w:r w:rsidRPr="00171323">
        <w:rPr>
          <w:u w:val="none"/>
        </w:rPr>
        <w:t>a que soliciten asistencia al Fondo para preparar su primer expediente de candidatura para la Lista Representativa del Patrimonio Cultural Inmaterial de la Humanidad</w:t>
      </w:r>
      <w:r w:rsidRPr="00171323">
        <w:rPr>
          <w:rStyle w:val="Aucun"/>
          <w:u w:val="none"/>
        </w:rPr>
        <w:t xml:space="preserve">, teniendo en cuenta que el próximo plazo del </w:t>
      </w:r>
      <w:r w:rsidRPr="00171323">
        <w:rPr>
          <w:u w:val="none"/>
        </w:rPr>
        <w:t>31 de marzo de 2025 y a partir de entonces cada año;</w:t>
      </w:r>
    </w:p>
    <w:p w14:paraId="4D32ACC4" w14:textId="77777777" w:rsidR="00A61E8F" w:rsidRPr="00171323" w:rsidRDefault="00A61E8F" w:rsidP="00A61E8F">
      <w:pPr>
        <w:pStyle w:val="COMParaDecision"/>
        <w:ind w:left="709" w:hanging="709"/>
      </w:pPr>
      <w:r w:rsidRPr="00171323">
        <w:t>Aprueba</w:t>
      </w:r>
      <w:r w:rsidRPr="00171323">
        <w:rPr>
          <w:u w:val="none"/>
        </w:rPr>
        <w:t xml:space="preserve"> las enmiendas a las Directrices Operativas que figuran en la sección II del anexo de la presente Resolución.</w:t>
      </w:r>
    </w:p>
    <w:p w14:paraId="3DC00DB9" w14:textId="77777777" w:rsidR="001E6CB1" w:rsidRPr="00171323" w:rsidRDefault="001E6CB1" w:rsidP="00A61E8F">
      <w:pPr>
        <w:pStyle w:val="COMTitleDecision"/>
        <w:ind w:left="142" w:hanging="142"/>
        <w:sectPr w:rsidR="001E6CB1" w:rsidRPr="00171323" w:rsidSect="002E550F">
          <w:headerReference w:type="even" r:id="rId27"/>
          <w:headerReference w:type="default" r:id="rId28"/>
          <w:headerReference w:type="first" r:id="rId29"/>
          <w:pgSz w:w="11906" w:h="16838" w:code="9"/>
          <w:pgMar w:top="1418" w:right="1134" w:bottom="1134" w:left="1134" w:header="397" w:footer="284" w:gutter="0"/>
          <w:cols w:space="708"/>
          <w:titlePg/>
          <w:docGrid w:linePitch="360"/>
        </w:sectPr>
      </w:pPr>
    </w:p>
    <w:p w14:paraId="0A92239E" w14:textId="77777777" w:rsidR="001E6CB1" w:rsidRPr="00171323" w:rsidRDefault="001E6CB1" w:rsidP="001E6CB1">
      <w:pPr>
        <w:spacing w:after="240"/>
        <w:jc w:val="center"/>
        <w:rPr>
          <w:rFonts w:asciiTheme="minorBidi" w:hAnsiTheme="minorBidi"/>
          <w:b/>
          <w:bCs/>
          <w:sz w:val="22"/>
          <w:szCs w:val="22"/>
        </w:rPr>
      </w:pPr>
      <w:r w:rsidRPr="00171323">
        <w:rPr>
          <w:rFonts w:asciiTheme="minorBidi" w:hAnsiTheme="minorBidi"/>
          <w:b/>
          <w:sz w:val="22"/>
          <w:szCs w:val="22"/>
        </w:rPr>
        <w:lastRenderedPageBreak/>
        <w:t>ANEXO</w:t>
      </w:r>
    </w:p>
    <w:p w14:paraId="236D0EE3" w14:textId="77777777" w:rsidR="001E6CB1" w:rsidRPr="00171323" w:rsidRDefault="001E6CB1" w:rsidP="001E6CB1">
      <w:pPr>
        <w:jc w:val="center"/>
        <w:rPr>
          <w:rFonts w:asciiTheme="minorBidi" w:hAnsiTheme="minorBidi"/>
          <w:b/>
          <w:sz w:val="22"/>
          <w:szCs w:val="22"/>
        </w:rPr>
      </w:pPr>
      <w:r w:rsidRPr="00171323">
        <w:rPr>
          <w:rFonts w:asciiTheme="minorBidi" w:hAnsiTheme="minorBidi"/>
          <w:b/>
          <w:sz w:val="22"/>
          <w:szCs w:val="22"/>
        </w:rPr>
        <w:t>Enmiendas propuestas a las Directrices Operativas para la aplicación de la Convención</w:t>
      </w:r>
    </w:p>
    <w:p w14:paraId="29E0CD91" w14:textId="77777777" w:rsidR="001E6CB1" w:rsidRPr="00171323" w:rsidRDefault="001E6CB1" w:rsidP="001E6CB1">
      <w:pPr>
        <w:jc w:val="center"/>
        <w:rPr>
          <w:rFonts w:asciiTheme="minorBidi" w:hAnsiTheme="minorBidi"/>
          <w:b/>
          <w:sz w:val="22"/>
          <w:szCs w:val="22"/>
        </w:rPr>
      </w:pPr>
    </w:p>
    <w:p w14:paraId="303B08DF" w14:textId="77777777" w:rsidR="001E6CB1" w:rsidRPr="00171323" w:rsidRDefault="001E6CB1" w:rsidP="001E6CB1">
      <w:pPr>
        <w:pStyle w:val="Titre4"/>
        <w:rPr>
          <w:u w:val="single"/>
        </w:rPr>
      </w:pPr>
      <w:bookmarkStart w:id="0" w:name="_Criterios_de_selección"/>
      <w:bookmarkEnd w:id="0"/>
      <w:r w:rsidRPr="00171323">
        <w:rPr>
          <w:u w:val="single"/>
        </w:rPr>
        <w:t>Criterios de selección de programas, proyectos y actividades que reflejan del modo más adecuado los principios y objetivos de la Convención</w:t>
      </w:r>
    </w:p>
    <w:tbl>
      <w:tblPr>
        <w:tblStyle w:val="Grilledutableau2"/>
        <w:tblW w:w="91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613"/>
      </w:tblGrid>
      <w:tr w:rsidR="00E1406C" w:rsidRPr="00171323" w14:paraId="508CB711" w14:textId="77777777" w:rsidTr="00171323">
        <w:tc>
          <w:tcPr>
            <w:tcW w:w="540" w:type="dxa"/>
            <w:shd w:val="clear" w:color="auto" w:fill="auto"/>
          </w:tcPr>
          <w:p w14:paraId="7A864A95" w14:textId="77777777" w:rsidR="00E1406C" w:rsidRPr="00171323" w:rsidRDefault="00E1406C" w:rsidP="00E601F4">
            <w:pPr>
              <w:keepNext/>
              <w:keepLines/>
              <w:spacing w:before="120" w:after="120"/>
              <w:rPr>
                <w:rFonts w:asciiTheme="minorBidi" w:hAnsiTheme="minorBidi" w:cstheme="minorBidi"/>
                <w:bCs/>
                <w:color w:val="1F4E79"/>
                <w:sz w:val="22"/>
                <w:szCs w:val="22"/>
              </w:rPr>
            </w:pPr>
            <w:r w:rsidRPr="00171323">
              <w:rPr>
                <w:rFonts w:asciiTheme="minorBidi" w:hAnsiTheme="minorBidi"/>
                <w:bCs/>
                <w:sz w:val="22"/>
                <w:szCs w:val="22"/>
              </w:rPr>
              <w:t>I.3</w:t>
            </w:r>
          </w:p>
        </w:tc>
        <w:tc>
          <w:tcPr>
            <w:tcW w:w="8613" w:type="dxa"/>
            <w:shd w:val="clear" w:color="auto" w:fill="auto"/>
          </w:tcPr>
          <w:p w14:paraId="2E716DC4" w14:textId="77777777" w:rsidR="00E1406C" w:rsidRPr="00171323" w:rsidRDefault="00E1406C" w:rsidP="00E601F4">
            <w:pPr>
              <w:pStyle w:val="Notedebasdepage"/>
              <w:keepNext/>
              <w:keepLines/>
              <w:spacing w:before="120" w:after="120"/>
              <w:rPr>
                <w:rFonts w:asciiTheme="minorBidi" w:eastAsia="Yu Mincho" w:hAnsiTheme="minorBidi" w:cstheme="minorBidi"/>
                <w:sz w:val="22"/>
                <w:szCs w:val="22"/>
              </w:rPr>
            </w:pPr>
            <w:r w:rsidRPr="00171323">
              <w:rPr>
                <w:rFonts w:asciiTheme="minorBidi" w:hAnsiTheme="minorBidi"/>
                <w:sz w:val="22"/>
                <w:szCs w:val="22"/>
              </w:rPr>
              <w:t>[Sin cambio.]</w:t>
            </w:r>
          </w:p>
        </w:tc>
      </w:tr>
      <w:tr w:rsidR="00E1406C" w:rsidRPr="00171323" w14:paraId="65444519" w14:textId="77777777" w:rsidTr="00171323">
        <w:tc>
          <w:tcPr>
            <w:tcW w:w="540" w:type="dxa"/>
          </w:tcPr>
          <w:p w14:paraId="4157F03A" w14:textId="77777777" w:rsidR="00E1406C" w:rsidRPr="00171323" w:rsidRDefault="00E1406C" w:rsidP="00E601F4">
            <w:pPr>
              <w:spacing w:before="60" w:after="60"/>
              <w:rPr>
                <w:rFonts w:asciiTheme="minorBidi" w:hAnsiTheme="minorBidi" w:cstheme="minorBidi"/>
                <w:sz w:val="22"/>
                <w:szCs w:val="22"/>
              </w:rPr>
            </w:pPr>
            <w:r w:rsidRPr="00171323">
              <w:rPr>
                <w:rFonts w:asciiTheme="minorBidi" w:hAnsiTheme="minorBidi"/>
                <w:sz w:val="22"/>
                <w:szCs w:val="22"/>
              </w:rPr>
              <w:t>7.</w:t>
            </w:r>
          </w:p>
        </w:tc>
        <w:tc>
          <w:tcPr>
            <w:tcW w:w="8613" w:type="dxa"/>
          </w:tcPr>
          <w:p w14:paraId="77CDC58D" w14:textId="77777777" w:rsidR="00E1406C" w:rsidRPr="00171323" w:rsidRDefault="00E1406C" w:rsidP="00E601F4">
            <w:pPr>
              <w:spacing w:before="60" w:after="60"/>
              <w:rPr>
                <w:rFonts w:asciiTheme="minorBidi" w:eastAsia="Calibri" w:hAnsiTheme="minorBidi" w:cstheme="minorBidi"/>
                <w:color w:val="231F20"/>
                <w:sz w:val="22"/>
                <w:szCs w:val="22"/>
              </w:rPr>
            </w:pPr>
            <w:r w:rsidRPr="00171323">
              <w:rPr>
                <w:rFonts w:asciiTheme="minorBidi" w:hAnsiTheme="minorBidi"/>
                <w:color w:val="231F20"/>
                <w:sz w:val="22"/>
                <w:szCs w:val="22"/>
              </w:rPr>
              <w:t xml:space="preserve">El Comité seleccionará los programas, proyectos y actividades propuestos que </w:t>
            </w:r>
            <w:r w:rsidRPr="00171323">
              <w:rPr>
                <w:rFonts w:asciiTheme="minorBidi" w:hAnsiTheme="minorBidi"/>
                <w:strike/>
                <w:color w:val="231F20"/>
                <w:sz w:val="22"/>
                <w:szCs w:val="22"/>
              </w:rPr>
              <w:t>mejor</w:t>
            </w:r>
            <w:r w:rsidRPr="00171323">
              <w:rPr>
                <w:rFonts w:asciiTheme="minorBidi" w:hAnsiTheme="minorBidi"/>
                <w:color w:val="231F20"/>
                <w:sz w:val="22"/>
                <w:szCs w:val="22"/>
              </w:rPr>
              <w:t xml:space="preserve"> se ajusten a todos los criterios enumerados a continuación:</w:t>
            </w:r>
          </w:p>
          <w:p w14:paraId="2C20AF0E" w14:textId="77777777" w:rsidR="00E1406C" w:rsidRPr="00171323" w:rsidRDefault="00E1406C" w:rsidP="00E601F4">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rPr>
            </w:pPr>
            <w:r w:rsidRPr="00171323">
              <w:rPr>
                <w:rFonts w:asciiTheme="minorBidi" w:hAnsiTheme="minorBidi"/>
                <w:strike/>
                <w:color w:val="231F20"/>
                <w:sz w:val="22"/>
                <w:szCs w:val="22"/>
              </w:rPr>
              <w:t>P.1</w:t>
            </w:r>
            <w:r w:rsidRPr="00171323">
              <w:rPr>
                <w:rFonts w:asciiTheme="minorBidi" w:hAnsiTheme="minorBidi"/>
                <w:color w:val="231F20"/>
                <w:sz w:val="22"/>
                <w:szCs w:val="22"/>
              </w:rPr>
              <w:t xml:space="preserve"> </w:t>
            </w:r>
            <w:r w:rsidRPr="00171323">
              <w:rPr>
                <w:rFonts w:asciiTheme="minorBidi" w:hAnsiTheme="minorBidi"/>
                <w:color w:val="231F20"/>
                <w:sz w:val="22"/>
                <w:szCs w:val="22"/>
                <w:u w:val="single"/>
              </w:rPr>
              <w:t>G.1</w:t>
            </w:r>
            <w:r w:rsidRPr="00171323">
              <w:rPr>
                <w:rFonts w:asciiTheme="minorBidi" w:hAnsiTheme="minorBidi"/>
                <w:color w:val="231F20"/>
                <w:sz w:val="22"/>
                <w:szCs w:val="22"/>
              </w:rPr>
              <w:t xml:space="preserve"> El programa, proyecto o actividad implica una salvaguardia, tal como se define en el artículo 2.3 de la Convención</w:t>
            </w:r>
            <w:r w:rsidRPr="00171323">
              <w:rPr>
                <w:rFonts w:asciiTheme="minorBidi" w:hAnsiTheme="minorBidi"/>
                <w:color w:val="231F20"/>
                <w:sz w:val="22"/>
                <w:szCs w:val="22"/>
                <w:u w:val="single"/>
              </w:rPr>
              <w:t>,</w:t>
            </w:r>
            <w:r w:rsidRPr="00171323">
              <w:rPr>
                <w:rFonts w:asciiTheme="minorBidi" w:hAnsiTheme="minorBidi"/>
                <w:sz w:val="22"/>
                <w:szCs w:val="22"/>
                <w:u w:val="single"/>
              </w:rPr>
              <w:t xml:space="preserve"> reflejando los principios y objetivos de la Convención</w:t>
            </w:r>
            <w:r w:rsidRPr="00171323">
              <w:rPr>
                <w:rFonts w:asciiTheme="minorBidi" w:hAnsiTheme="minorBidi"/>
                <w:color w:val="231F20"/>
                <w:sz w:val="22"/>
                <w:szCs w:val="22"/>
              </w:rPr>
              <w:t>.</w:t>
            </w:r>
          </w:p>
          <w:p w14:paraId="7CE8773C" w14:textId="77777777" w:rsidR="00E1406C" w:rsidRPr="00171323" w:rsidRDefault="00E1406C" w:rsidP="00E601F4">
            <w:pPr>
              <w:widowControl w:val="0"/>
              <w:tabs>
                <w:tab w:val="left" w:pos="2127"/>
                <w:tab w:val="left" w:pos="2176"/>
              </w:tabs>
              <w:autoSpaceDE w:val="0"/>
              <w:autoSpaceDN w:val="0"/>
              <w:spacing w:before="60" w:after="60"/>
              <w:rPr>
                <w:rFonts w:asciiTheme="minorBidi" w:eastAsia="Calibri" w:hAnsiTheme="minorBidi" w:cstheme="minorBidi"/>
                <w:strike/>
                <w:color w:val="231F20"/>
                <w:sz w:val="22"/>
                <w:szCs w:val="22"/>
              </w:rPr>
            </w:pPr>
            <w:r w:rsidRPr="00171323">
              <w:rPr>
                <w:rFonts w:asciiTheme="minorBidi" w:hAnsiTheme="minorBidi"/>
                <w:strike/>
                <w:color w:val="231F20"/>
                <w:sz w:val="22"/>
                <w:szCs w:val="22"/>
              </w:rPr>
              <w:t xml:space="preserve">P.2 El programa, proyecto o actividad promueve la coordinación de los esfuerzos encaminados a salvaguardar el patrimonio cultural inmaterial en el ámbito regional, subregional y/o internacional. </w:t>
            </w:r>
          </w:p>
          <w:p w14:paraId="7D33401D" w14:textId="77777777" w:rsidR="00E1406C" w:rsidRPr="00171323" w:rsidRDefault="00E1406C" w:rsidP="00E601F4">
            <w:pPr>
              <w:pStyle w:val="Corpsdetexte"/>
              <w:rPr>
                <w:rFonts w:asciiTheme="minorBidi" w:hAnsiTheme="minorBidi" w:cstheme="minorBidi"/>
                <w:strike/>
                <w:sz w:val="22"/>
              </w:rPr>
            </w:pPr>
            <w:r w:rsidRPr="00171323">
              <w:rPr>
                <w:rFonts w:asciiTheme="minorBidi" w:hAnsiTheme="minorBidi"/>
                <w:strike/>
                <w:sz w:val="22"/>
              </w:rPr>
              <w:t xml:space="preserve">P.3 El programa, proyecto o actividad refleja los principios y objetivos de la Convención. </w:t>
            </w:r>
          </w:p>
          <w:p w14:paraId="322F9A89" w14:textId="77777777" w:rsidR="00E1406C" w:rsidRPr="00171323" w:rsidRDefault="00E1406C" w:rsidP="00E601F4">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rPr>
            </w:pPr>
            <w:r w:rsidRPr="00171323">
              <w:rPr>
                <w:rFonts w:asciiTheme="minorBidi" w:hAnsiTheme="minorBidi"/>
                <w:strike/>
                <w:color w:val="231F20"/>
                <w:sz w:val="22"/>
                <w:szCs w:val="22"/>
              </w:rPr>
              <w:t>P.4</w:t>
            </w:r>
            <w:r w:rsidRPr="00171323">
              <w:rPr>
                <w:rFonts w:asciiTheme="minorBidi" w:hAnsiTheme="minorBidi"/>
                <w:color w:val="231F20"/>
                <w:sz w:val="22"/>
                <w:szCs w:val="22"/>
              </w:rPr>
              <w:t xml:space="preserve"> </w:t>
            </w:r>
            <w:r w:rsidRPr="00171323">
              <w:rPr>
                <w:rFonts w:asciiTheme="minorBidi" w:hAnsiTheme="minorBidi"/>
                <w:color w:val="231F20"/>
                <w:sz w:val="22"/>
                <w:szCs w:val="22"/>
                <w:u w:val="single"/>
              </w:rPr>
              <w:t>G.2</w:t>
            </w:r>
            <w:r w:rsidRPr="00171323">
              <w:rPr>
                <w:rFonts w:asciiTheme="minorBidi" w:hAnsiTheme="minorBidi"/>
                <w:color w:val="231F20"/>
                <w:sz w:val="22"/>
                <w:szCs w:val="22"/>
              </w:rPr>
              <w:t xml:space="preserve"> El programa, proyecto o actividad ha demostrado ser eficaz para contribuir a la viabilidad del patrimonio cultural inmaterial de que se trate. </w:t>
            </w:r>
          </w:p>
          <w:p w14:paraId="6748594D" w14:textId="77777777" w:rsidR="00E1406C" w:rsidRPr="00171323" w:rsidRDefault="00E1406C" w:rsidP="00E601F4">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rPr>
            </w:pPr>
            <w:r w:rsidRPr="00171323">
              <w:rPr>
                <w:rFonts w:asciiTheme="minorBidi" w:hAnsiTheme="minorBidi"/>
                <w:strike/>
                <w:color w:val="231F20"/>
                <w:sz w:val="22"/>
                <w:szCs w:val="22"/>
              </w:rPr>
              <w:t>P.5</w:t>
            </w:r>
            <w:r w:rsidRPr="00171323">
              <w:rPr>
                <w:rFonts w:asciiTheme="minorBidi" w:hAnsiTheme="minorBidi"/>
                <w:color w:val="231F20"/>
                <w:sz w:val="22"/>
                <w:szCs w:val="22"/>
              </w:rPr>
              <w:t xml:space="preserve"> </w:t>
            </w:r>
            <w:r w:rsidRPr="00171323">
              <w:rPr>
                <w:rFonts w:asciiTheme="minorBidi" w:hAnsiTheme="minorBidi"/>
                <w:color w:val="231F20"/>
                <w:sz w:val="22"/>
                <w:szCs w:val="22"/>
                <w:u w:val="single"/>
              </w:rPr>
              <w:t>G.3</w:t>
            </w:r>
            <w:r w:rsidRPr="00171323">
              <w:rPr>
                <w:rFonts w:asciiTheme="minorBidi" w:hAnsiTheme="minorBidi"/>
                <w:color w:val="231F20"/>
                <w:sz w:val="22"/>
                <w:szCs w:val="22"/>
              </w:rPr>
              <w:t xml:space="preserve"> El programa, proyecto o actividad es o ha sido ejecutado con la participación de la comunidad, el grupo o, si procede, los individuos interesados, y con su consentimiento libre, previo</w:t>
            </w:r>
            <w:r w:rsidRPr="00171323">
              <w:rPr>
                <w:rFonts w:asciiTheme="minorBidi" w:hAnsiTheme="minorBidi"/>
                <w:color w:val="231F20"/>
                <w:sz w:val="22"/>
                <w:szCs w:val="22"/>
                <w:u w:val="single"/>
              </w:rPr>
              <w:t>, continuo</w:t>
            </w:r>
            <w:r w:rsidRPr="00171323">
              <w:rPr>
                <w:rFonts w:asciiTheme="minorBidi" w:hAnsiTheme="minorBidi"/>
                <w:color w:val="231F20"/>
                <w:sz w:val="22"/>
                <w:szCs w:val="22"/>
              </w:rPr>
              <w:t xml:space="preserve"> e informado </w:t>
            </w:r>
            <w:r w:rsidRPr="00B4133D">
              <w:rPr>
                <w:rFonts w:asciiTheme="minorBidi" w:hAnsiTheme="minorBidi"/>
                <w:color w:val="231F20"/>
                <w:sz w:val="22"/>
                <w:szCs w:val="22"/>
                <w:u w:val="single"/>
              </w:rPr>
              <w:t>en el momento de la candidatura</w:t>
            </w:r>
            <w:r w:rsidRPr="00171323">
              <w:rPr>
                <w:rFonts w:asciiTheme="minorBidi" w:hAnsiTheme="minorBidi"/>
                <w:color w:val="231F20"/>
                <w:sz w:val="22"/>
                <w:szCs w:val="22"/>
              </w:rPr>
              <w:t xml:space="preserve">. </w:t>
            </w:r>
          </w:p>
          <w:p w14:paraId="5D96CF83" w14:textId="77777777" w:rsidR="00E1406C" w:rsidRPr="00171323" w:rsidRDefault="00E1406C" w:rsidP="00E601F4">
            <w:pPr>
              <w:widowControl w:val="0"/>
              <w:tabs>
                <w:tab w:val="left" w:pos="2127"/>
                <w:tab w:val="left" w:pos="2176"/>
              </w:tabs>
              <w:autoSpaceDE w:val="0"/>
              <w:autoSpaceDN w:val="0"/>
              <w:spacing w:before="60" w:after="60"/>
              <w:rPr>
                <w:rFonts w:asciiTheme="minorBidi" w:hAnsiTheme="minorBidi"/>
                <w:strike/>
                <w:sz w:val="22"/>
              </w:rPr>
            </w:pPr>
            <w:r w:rsidRPr="00171323">
              <w:rPr>
                <w:rFonts w:asciiTheme="minorBidi" w:hAnsiTheme="minorBidi" w:cs="Times New Roman"/>
                <w:strike/>
                <w:color w:val="231F20"/>
                <w:sz w:val="22"/>
                <w:szCs w:val="22"/>
                <w:lang w:eastAsia="fr-FR"/>
              </w:rPr>
              <w:t xml:space="preserve">P.6 El programa, proyecto o actividad podría servir de modelo subregional, regional o internacional, según el caso, para actividades de salvaguardia. </w:t>
            </w:r>
          </w:p>
          <w:p w14:paraId="7DA3CE0C" w14:textId="77777777" w:rsidR="00E1406C" w:rsidRPr="00171323" w:rsidRDefault="00E1406C" w:rsidP="00E601F4">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rPr>
            </w:pPr>
            <w:r w:rsidRPr="00171323">
              <w:rPr>
                <w:rFonts w:asciiTheme="minorBidi" w:hAnsiTheme="minorBidi"/>
                <w:strike/>
                <w:color w:val="231F20"/>
                <w:sz w:val="22"/>
                <w:szCs w:val="22"/>
              </w:rPr>
              <w:t>P.7</w:t>
            </w:r>
            <w:r w:rsidRPr="00171323">
              <w:rPr>
                <w:rFonts w:asciiTheme="minorBidi" w:hAnsiTheme="minorBidi"/>
                <w:color w:val="231F20"/>
                <w:sz w:val="22"/>
                <w:szCs w:val="22"/>
              </w:rPr>
              <w:t xml:space="preserve"> </w:t>
            </w:r>
            <w:r w:rsidRPr="00171323">
              <w:rPr>
                <w:rFonts w:asciiTheme="minorBidi" w:hAnsiTheme="minorBidi"/>
                <w:color w:val="231F20"/>
                <w:sz w:val="22"/>
                <w:szCs w:val="22"/>
                <w:u w:val="single"/>
              </w:rPr>
              <w:t>G.4</w:t>
            </w:r>
            <w:r w:rsidRPr="00171323">
              <w:rPr>
                <w:rFonts w:asciiTheme="minorBidi" w:hAnsiTheme="minorBidi"/>
                <w:color w:val="231F20"/>
                <w:sz w:val="22"/>
                <w:szCs w:val="22"/>
              </w:rPr>
              <w:t xml:space="preserve"> El (Los) Estado(s) Parte(s) solicitante(s), el (los) organismo(s) encargado(s) de la ejecución, y la comunidad, el grupo o, si procede, los individuos interesados están dispuestos a </w:t>
            </w:r>
            <w:r w:rsidRPr="00171323">
              <w:rPr>
                <w:rFonts w:asciiTheme="minorBidi" w:hAnsiTheme="minorBidi"/>
                <w:color w:val="231F20"/>
                <w:sz w:val="22"/>
                <w:szCs w:val="22"/>
                <w:u w:val="single"/>
              </w:rPr>
              <w:t>coordinar y</w:t>
            </w:r>
            <w:r w:rsidRPr="00171323">
              <w:rPr>
                <w:rFonts w:asciiTheme="minorBidi" w:hAnsiTheme="minorBidi"/>
                <w:color w:val="231F20"/>
                <w:sz w:val="22"/>
                <w:szCs w:val="22"/>
              </w:rPr>
              <w:t xml:space="preserve"> cooperar en la difusión de </w:t>
            </w:r>
            <w:r w:rsidRPr="00171323">
              <w:rPr>
                <w:rFonts w:asciiTheme="minorBidi" w:hAnsiTheme="minorBidi"/>
                <w:color w:val="231F20"/>
                <w:sz w:val="22"/>
                <w:szCs w:val="22"/>
                <w:u w:val="single"/>
              </w:rPr>
              <w:t>buenas</w:t>
            </w:r>
            <w:r w:rsidRPr="00171323">
              <w:rPr>
                <w:rFonts w:asciiTheme="minorBidi" w:hAnsiTheme="minorBidi"/>
                <w:color w:val="231F20"/>
                <w:sz w:val="22"/>
                <w:szCs w:val="22"/>
              </w:rPr>
              <w:t xml:space="preserve"> prácticas </w:t>
            </w:r>
            <w:r w:rsidRPr="00171323">
              <w:rPr>
                <w:rFonts w:asciiTheme="minorBidi" w:hAnsiTheme="minorBidi"/>
                <w:strike/>
                <w:color w:val="231F20"/>
                <w:sz w:val="22"/>
                <w:szCs w:val="22"/>
              </w:rPr>
              <w:t>ejemplares</w:t>
            </w:r>
            <w:r w:rsidRPr="00171323">
              <w:rPr>
                <w:rFonts w:asciiTheme="minorBidi" w:hAnsiTheme="minorBidi"/>
                <w:color w:val="231F20"/>
                <w:sz w:val="22"/>
                <w:szCs w:val="22"/>
              </w:rPr>
              <w:t xml:space="preserve">, si se selecciona su programa, proyecto o actividad. </w:t>
            </w:r>
            <w:r w:rsidRPr="00171323">
              <w:rPr>
                <w:rFonts w:asciiTheme="minorBidi" w:hAnsiTheme="minorBidi"/>
                <w:color w:val="231F20"/>
                <w:sz w:val="22"/>
                <w:szCs w:val="22"/>
                <w:u w:val="single"/>
              </w:rPr>
              <w:t>Estos p</w:t>
            </w:r>
            <w:r w:rsidRPr="00171323">
              <w:rPr>
                <w:rFonts w:asciiTheme="minorBidi" w:hAnsiTheme="minorBidi"/>
                <w:sz w:val="22"/>
                <w:szCs w:val="22"/>
                <w:u w:val="single"/>
              </w:rPr>
              <w:t>ueden servir de fuente de inspiración a escala local, subregional, regional o internacional, según los casos, para las actividades de salvaguardia.</w:t>
            </w:r>
            <w:r w:rsidRPr="00171323">
              <w:rPr>
                <w:rFonts w:asciiTheme="minorBidi" w:hAnsiTheme="minorBidi"/>
                <w:color w:val="231F20"/>
                <w:sz w:val="22"/>
                <w:szCs w:val="22"/>
              </w:rPr>
              <w:t xml:space="preserve"> </w:t>
            </w:r>
          </w:p>
          <w:p w14:paraId="10248D0F" w14:textId="77777777" w:rsidR="00E1406C" w:rsidRPr="00171323" w:rsidRDefault="00E1406C" w:rsidP="00E601F4">
            <w:pPr>
              <w:spacing w:before="60" w:after="60"/>
              <w:rPr>
                <w:rFonts w:asciiTheme="minorBidi" w:hAnsiTheme="minorBidi" w:cstheme="minorBidi"/>
                <w:strike/>
                <w:sz w:val="22"/>
                <w:szCs w:val="22"/>
              </w:rPr>
            </w:pPr>
            <w:r w:rsidRPr="00171323">
              <w:rPr>
                <w:rFonts w:asciiTheme="minorBidi" w:hAnsiTheme="minorBidi"/>
                <w:strike/>
                <w:color w:val="231F20"/>
                <w:sz w:val="22"/>
                <w:szCs w:val="22"/>
              </w:rPr>
              <w:t>P.8 El programa, proyecto o actividad comprende experiencias cuyos resultados podrían ser objeto de evaluación</w:t>
            </w:r>
            <w:r w:rsidRPr="00171323">
              <w:rPr>
                <w:rFonts w:asciiTheme="minorBidi" w:hAnsiTheme="minorBidi"/>
                <w:color w:val="231F20"/>
                <w:sz w:val="22"/>
                <w:szCs w:val="22"/>
              </w:rPr>
              <w:t>.</w:t>
            </w:r>
          </w:p>
        </w:tc>
      </w:tr>
    </w:tbl>
    <w:p w14:paraId="5006FE38" w14:textId="77777777" w:rsidR="001E6CB1" w:rsidRPr="00171323" w:rsidRDefault="001E6CB1" w:rsidP="00DC52F5">
      <w:pPr>
        <w:pStyle w:val="Titre4"/>
        <w:spacing w:before="240"/>
        <w:ind w:left="562" w:hanging="562"/>
        <w:rPr>
          <w:rFonts w:asciiTheme="minorBidi" w:hAnsiTheme="minorBidi"/>
          <w:szCs w:val="22"/>
          <w:u w:val="single"/>
        </w:rPr>
      </w:pPr>
      <w:bookmarkStart w:id="1" w:name="_Presentación_de_expedientes"/>
      <w:bookmarkEnd w:id="1"/>
      <w:r w:rsidRPr="00171323">
        <w:rPr>
          <w:u w:val="single"/>
        </w:rPr>
        <w:t>Presentación</w:t>
      </w:r>
      <w:r w:rsidRPr="00171323">
        <w:rPr>
          <w:rFonts w:asciiTheme="minorBidi" w:hAnsiTheme="minorBidi"/>
          <w:szCs w:val="22"/>
          <w:u w:val="single"/>
        </w:rPr>
        <w:t xml:space="preserve"> de expedientes</w:t>
      </w:r>
    </w:p>
    <w:tbl>
      <w:tblPr>
        <w:tblStyle w:val="Grilledutableau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057"/>
      </w:tblGrid>
      <w:tr w:rsidR="00687FA7" w:rsidRPr="00171323" w14:paraId="0E68181C" w14:textId="77777777" w:rsidTr="00171323">
        <w:tc>
          <w:tcPr>
            <w:tcW w:w="568" w:type="dxa"/>
            <w:shd w:val="clear" w:color="auto" w:fill="auto"/>
          </w:tcPr>
          <w:p w14:paraId="154CF88C" w14:textId="77777777" w:rsidR="00687FA7" w:rsidRPr="00171323" w:rsidRDefault="00687FA7" w:rsidP="00E601F4">
            <w:pPr>
              <w:keepNext/>
              <w:keepLines/>
              <w:spacing w:before="120" w:after="120"/>
              <w:rPr>
                <w:rFonts w:asciiTheme="minorBidi" w:hAnsiTheme="minorBidi" w:cstheme="minorBidi"/>
                <w:bCs/>
                <w:sz w:val="22"/>
                <w:szCs w:val="22"/>
              </w:rPr>
            </w:pPr>
            <w:r w:rsidRPr="00171323">
              <w:rPr>
                <w:rFonts w:asciiTheme="minorBidi" w:hAnsiTheme="minorBidi"/>
                <w:bCs/>
                <w:sz w:val="22"/>
                <w:szCs w:val="22"/>
              </w:rPr>
              <w:t>I.7</w:t>
            </w:r>
          </w:p>
        </w:tc>
        <w:tc>
          <w:tcPr>
            <w:tcW w:w="9057" w:type="dxa"/>
            <w:shd w:val="clear" w:color="auto" w:fill="auto"/>
          </w:tcPr>
          <w:p w14:paraId="44E7DF23" w14:textId="77777777" w:rsidR="00687FA7" w:rsidRPr="00171323" w:rsidRDefault="00687FA7" w:rsidP="00E601F4">
            <w:pPr>
              <w:keepNext/>
              <w:keepLines/>
              <w:spacing w:before="120" w:after="120"/>
              <w:rPr>
                <w:rFonts w:asciiTheme="minorBidi" w:hAnsiTheme="minorBidi" w:cstheme="minorBidi"/>
                <w:sz w:val="22"/>
                <w:szCs w:val="22"/>
              </w:rPr>
            </w:pPr>
            <w:r w:rsidRPr="00171323">
              <w:rPr>
                <w:rFonts w:asciiTheme="minorBidi" w:hAnsiTheme="minorBidi"/>
                <w:sz w:val="22"/>
                <w:szCs w:val="22"/>
              </w:rPr>
              <w:t>[Sin cambio.]</w:t>
            </w:r>
          </w:p>
        </w:tc>
      </w:tr>
      <w:tr w:rsidR="00687FA7" w:rsidRPr="00171323" w14:paraId="526D371D" w14:textId="77777777" w:rsidTr="00171323">
        <w:tc>
          <w:tcPr>
            <w:tcW w:w="568" w:type="dxa"/>
          </w:tcPr>
          <w:p w14:paraId="312A2FAB" w14:textId="77777777" w:rsidR="00687FA7" w:rsidRPr="00171323" w:rsidRDefault="00687FA7" w:rsidP="00E601F4">
            <w:pPr>
              <w:keepLines/>
              <w:spacing w:before="120" w:after="60"/>
              <w:rPr>
                <w:rFonts w:asciiTheme="minorBidi" w:hAnsiTheme="minorBidi" w:cstheme="minorBidi"/>
                <w:sz w:val="22"/>
                <w:szCs w:val="22"/>
              </w:rPr>
            </w:pPr>
            <w:r w:rsidRPr="00171323">
              <w:rPr>
                <w:rFonts w:asciiTheme="minorBidi" w:hAnsiTheme="minorBidi"/>
                <w:sz w:val="22"/>
                <w:szCs w:val="22"/>
              </w:rPr>
              <w:t>21.</w:t>
            </w:r>
          </w:p>
        </w:tc>
        <w:tc>
          <w:tcPr>
            <w:tcW w:w="9057" w:type="dxa"/>
          </w:tcPr>
          <w:p w14:paraId="3A737DE6" w14:textId="77777777" w:rsidR="00687FA7" w:rsidRPr="00171323" w:rsidRDefault="00687FA7" w:rsidP="00E601F4">
            <w:pPr>
              <w:keepLines/>
              <w:snapToGrid w:val="0"/>
              <w:spacing w:before="120" w:after="120"/>
              <w:rPr>
                <w:rFonts w:asciiTheme="minorBidi" w:hAnsiTheme="minorBidi" w:cstheme="minorBidi"/>
                <w:sz w:val="22"/>
                <w:szCs w:val="22"/>
              </w:rPr>
            </w:pPr>
            <w:r w:rsidRPr="00171323">
              <w:rPr>
                <w:rFonts w:asciiTheme="minorBidi" w:hAnsiTheme="minorBidi"/>
                <w:sz w:val="22"/>
                <w:szCs w:val="22"/>
              </w:rPr>
              <w:t>Los Estados Partes podrán solicitar una asistencia preparatoria, en consulta con las comunidades, grupos y, si procede, individuos interesados, para la elaboración de:</w:t>
            </w:r>
          </w:p>
          <w:p w14:paraId="7BB1C508" w14:textId="77777777" w:rsidR="00687FA7" w:rsidRPr="00171323" w:rsidRDefault="00687FA7" w:rsidP="00E601F4">
            <w:pPr>
              <w:pStyle w:val="Paragraphedeliste"/>
              <w:keepLines/>
              <w:numPr>
                <w:ilvl w:val="0"/>
                <w:numId w:val="39"/>
              </w:numPr>
              <w:snapToGrid w:val="0"/>
              <w:spacing w:before="120"/>
              <w:ind w:left="457"/>
              <w:contextualSpacing w:val="0"/>
              <w:jc w:val="both"/>
              <w:rPr>
                <w:rFonts w:asciiTheme="minorBidi" w:eastAsia="Yu Mincho" w:hAnsiTheme="minorBidi"/>
                <w:b/>
                <w:bCs/>
                <w:sz w:val="22"/>
                <w:szCs w:val="22"/>
              </w:rPr>
            </w:pPr>
            <w:r w:rsidRPr="00171323">
              <w:rPr>
                <w:rFonts w:asciiTheme="minorBidi" w:hAnsiTheme="minorBidi"/>
                <w:sz w:val="22"/>
                <w:szCs w:val="22"/>
              </w:rPr>
              <w:t>candidaturas a la Lista del Patrimonio Cultural Inmaterial que requiere medidas urgentes de salvaguardia,</w:t>
            </w:r>
          </w:p>
          <w:p w14:paraId="6DE0B3FF" w14:textId="63B9B7DB" w:rsidR="00687FA7" w:rsidRPr="00171323" w:rsidRDefault="00687FA7" w:rsidP="00E601F4">
            <w:pPr>
              <w:pStyle w:val="Paragraphedeliste"/>
              <w:keepLines/>
              <w:numPr>
                <w:ilvl w:val="0"/>
                <w:numId w:val="39"/>
              </w:numPr>
              <w:snapToGrid w:val="0"/>
              <w:spacing w:before="120" w:after="120"/>
              <w:ind w:left="457"/>
              <w:contextualSpacing w:val="0"/>
              <w:jc w:val="both"/>
              <w:rPr>
                <w:rFonts w:asciiTheme="minorBidi" w:eastAsia="Yu Mincho" w:hAnsiTheme="minorBidi"/>
                <w:b/>
                <w:bCs/>
                <w:sz w:val="22"/>
                <w:szCs w:val="22"/>
                <w:u w:val="single"/>
              </w:rPr>
            </w:pPr>
            <w:r w:rsidRPr="00171323">
              <w:rPr>
                <w:rFonts w:asciiTheme="minorBidi" w:hAnsiTheme="minorBidi"/>
                <w:sz w:val="22"/>
                <w:szCs w:val="22"/>
                <w:u w:val="single"/>
              </w:rPr>
              <w:t>candidaturas a la Lista Representativa (solo para aquellos Estados Partes que no tengan elementos del patrimonio cultural inmaterial presentes en su territorio ya inscritos en esta lista</w:t>
            </w:r>
            <w:r w:rsidR="00B41A52" w:rsidRPr="00171323">
              <w:rPr>
                <w:rFonts w:asciiTheme="minorBidi" w:hAnsiTheme="minorBidi"/>
                <w:sz w:val="22"/>
                <w:szCs w:val="22"/>
                <w:u w:val="single"/>
              </w:rPr>
              <w:t>,</w:t>
            </w:r>
            <w:r w:rsidRPr="00171323">
              <w:rPr>
                <w:rFonts w:asciiTheme="minorBidi" w:hAnsiTheme="minorBidi"/>
                <w:sz w:val="22"/>
                <w:szCs w:val="22"/>
                <w:u w:val="single"/>
              </w:rPr>
              <w:t xml:space="preserve"> a excepción de los elementos propuestos en el marco de candidaturas multinacionales),</w:t>
            </w:r>
          </w:p>
          <w:p w14:paraId="606633A6" w14:textId="77777777" w:rsidR="00687FA7" w:rsidRPr="00171323" w:rsidRDefault="00687FA7" w:rsidP="00E601F4">
            <w:pPr>
              <w:pStyle w:val="Paragraphedeliste"/>
              <w:keepLines/>
              <w:numPr>
                <w:ilvl w:val="0"/>
                <w:numId w:val="39"/>
              </w:numPr>
              <w:snapToGrid w:val="0"/>
              <w:spacing w:before="120" w:after="120"/>
              <w:ind w:left="457"/>
              <w:contextualSpacing w:val="0"/>
              <w:jc w:val="both"/>
              <w:rPr>
                <w:rFonts w:asciiTheme="minorBidi" w:eastAsia="Yu Mincho" w:hAnsiTheme="minorBidi"/>
                <w:b/>
                <w:bCs/>
                <w:sz w:val="22"/>
                <w:szCs w:val="22"/>
              </w:rPr>
            </w:pPr>
            <w:r w:rsidRPr="00171323">
              <w:rPr>
                <w:rFonts w:asciiTheme="minorBidi" w:hAnsiTheme="minorBidi"/>
                <w:sz w:val="22"/>
                <w:szCs w:val="22"/>
              </w:rPr>
              <w:t xml:space="preserve">propuestas de programas, proyectos y actividades que reflejan del modo más adecuado los principios y objetivos de la Convención, </w:t>
            </w:r>
          </w:p>
          <w:p w14:paraId="4BD84471" w14:textId="77777777" w:rsidR="00687FA7" w:rsidRPr="00171323" w:rsidRDefault="00687FA7" w:rsidP="00E601F4">
            <w:pPr>
              <w:pStyle w:val="Paragraphedeliste"/>
              <w:keepLines/>
              <w:numPr>
                <w:ilvl w:val="0"/>
                <w:numId w:val="39"/>
              </w:numPr>
              <w:snapToGrid w:val="0"/>
              <w:spacing w:before="120" w:after="120"/>
              <w:ind w:left="457"/>
              <w:contextualSpacing w:val="0"/>
              <w:jc w:val="both"/>
              <w:rPr>
                <w:rFonts w:ascii="Calibri" w:eastAsia="Calibri" w:hAnsi="Calibri"/>
                <w:b/>
                <w:bCs/>
                <w:color w:val="000000" w:themeColor="text1"/>
                <w:sz w:val="22"/>
                <w:szCs w:val="22"/>
                <w:u w:val="single"/>
              </w:rPr>
            </w:pPr>
            <w:r w:rsidRPr="00171323">
              <w:rPr>
                <w:rFonts w:asciiTheme="minorBidi" w:hAnsiTheme="minorBidi"/>
                <w:sz w:val="22"/>
                <w:szCs w:val="22"/>
              </w:rPr>
              <w:t xml:space="preserve">solicitudes de traspaso de un elemento de una lista a otra y </w:t>
            </w:r>
          </w:p>
          <w:p w14:paraId="42C6746C" w14:textId="77777777" w:rsidR="00687FA7" w:rsidRPr="00171323" w:rsidRDefault="00687FA7" w:rsidP="00E601F4">
            <w:pPr>
              <w:pStyle w:val="Paragraphedeliste"/>
              <w:keepLines/>
              <w:numPr>
                <w:ilvl w:val="0"/>
                <w:numId w:val="39"/>
              </w:numPr>
              <w:snapToGrid w:val="0"/>
              <w:spacing w:before="120" w:after="120"/>
              <w:ind w:left="457"/>
              <w:contextualSpacing w:val="0"/>
              <w:jc w:val="both"/>
              <w:rPr>
                <w:rFonts w:ascii="Calibri" w:eastAsia="Calibri" w:hAnsi="Calibri"/>
                <w:b/>
                <w:bCs/>
                <w:color w:val="000000" w:themeColor="text1"/>
                <w:sz w:val="22"/>
                <w:szCs w:val="22"/>
                <w:u w:val="single"/>
              </w:rPr>
            </w:pPr>
            <w:r w:rsidRPr="00171323">
              <w:rPr>
                <w:rFonts w:asciiTheme="minorBidi" w:hAnsiTheme="minorBidi"/>
                <w:sz w:val="22"/>
                <w:szCs w:val="22"/>
              </w:rPr>
              <w:t>candidaturas de ampliación o reducción de elementos ya inscritos.</w:t>
            </w:r>
          </w:p>
        </w:tc>
      </w:tr>
    </w:tbl>
    <w:p w14:paraId="5F14F457" w14:textId="77777777" w:rsidR="001E6CB1" w:rsidRPr="00171323" w:rsidRDefault="001E6CB1" w:rsidP="00601D09">
      <w:pPr>
        <w:pStyle w:val="COMTitleDecision"/>
        <w:ind w:left="0"/>
        <w:sectPr w:rsidR="001E6CB1" w:rsidRPr="00171323" w:rsidSect="00171323">
          <w:pgSz w:w="11906" w:h="16838" w:code="9"/>
          <w:pgMar w:top="1418" w:right="1134" w:bottom="1134" w:left="1134" w:header="397" w:footer="284" w:gutter="0"/>
          <w:cols w:space="708"/>
          <w:docGrid w:linePitch="360"/>
        </w:sectPr>
      </w:pPr>
    </w:p>
    <w:p w14:paraId="42345056" w14:textId="0EBFFA22" w:rsidR="00A61E8F" w:rsidRPr="00171323" w:rsidRDefault="00A61E8F" w:rsidP="00601D09">
      <w:pPr>
        <w:pStyle w:val="COMTitleDecision"/>
        <w:ind w:left="0"/>
      </w:pPr>
      <w:r w:rsidRPr="00171323">
        <w:lastRenderedPageBreak/>
        <w:t>RESOLUCIÓN 10.GA 8</w:t>
      </w:r>
    </w:p>
    <w:p w14:paraId="4E817C1F" w14:textId="77777777" w:rsidR="00601D09" w:rsidRPr="00171323" w:rsidRDefault="00601D09" w:rsidP="00601D09">
      <w:pPr>
        <w:pStyle w:val="COMPreambulaDecisions"/>
        <w:ind w:hanging="567"/>
        <w:rPr>
          <w:rFonts w:eastAsia="SimSun"/>
        </w:rPr>
      </w:pPr>
      <w:r w:rsidRPr="00171323">
        <w:t>La Asamblea General,</w:t>
      </w:r>
    </w:p>
    <w:p w14:paraId="588380E9" w14:textId="42F56337" w:rsidR="00601D09" w:rsidRPr="00171323" w:rsidRDefault="00601D09" w:rsidP="00601D09">
      <w:pPr>
        <w:pStyle w:val="COMParaDecision"/>
        <w:numPr>
          <w:ilvl w:val="0"/>
          <w:numId w:val="32"/>
        </w:numPr>
        <w:ind w:left="709" w:hanging="709"/>
      </w:pPr>
      <w:r w:rsidRPr="00171323">
        <w:t>Habiendo examinado</w:t>
      </w:r>
      <w:r w:rsidRPr="00171323">
        <w:rPr>
          <w:u w:val="none"/>
        </w:rPr>
        <w:t xml:space="preserve"> los documentos </w:t>
      </w:r>
      <w:hyperlink r:id="rId30" w:history="1">
        <w:r w:rsidRPr="00171323">
          <w:rPr>
            <w:rStyle w:val="Lienhypertexte"/>
          </w:rPr>
          <w:t>LHE/24/10.GA/8</w:t>
        </w:r>
      </w:hyperlink>
      <w:r w:rsidRPr="00171323">
        <w:rPr>
          <w:u w:val="none"/>
        </w:rPr>
        <w:t xml:space="preserve"> y </w:t>
      </w:r>
      <w:hyperlink r:id="rId31" w:history="1">
        <w:r w:rsidRPr="00171323">
          <w:rPr>
            <w:rStyle w:val="Lienhypertexte"/>
          </w:rPr>
          <w:t>LHE/24/10.GA/INF.8</w:t>
        </w:r>
      </w:hyperlink>
      <w:r w:rsidRPr="00171323">
        <w:rPr>
          <w:u w:val="none"/>
        </w:rPr>
        <w:t xml:space="preserve"> y sus respectivos anexos, </w:t>
      </w:r>
    </w:p>
    <w:p w14:paraId="47F547B5" w14:textId="77777777" w:rsidR="00601D09" w:rsidRPr="00171323" w:rsidRDefault="00601D09" w:rsidP="00601D09">
      <w:pPr>
        <w:pStyle w:val="COMParaDecision"/>
        <w:ind w:left="709" w:hanging="709"/>
      </w:pPr>
      <w:r w:rsidRPr="00171323">
        <w:t>Recordando</w:t>
      </w:r>
      <w:r w:rsidRPr="00171323">
        <w:rPr>
          <w:u w:val="none"/>
        </w:rPr>
        <w:t xml:space="preserve"> el Artículo 7 (c) de la Convención y el capítulo II.1 a de las Directrices Operativas,</w:t>
      </w:r>
    </w:p>
    <w:p w14:paraId="27CCB529" w14:textId="77777777" w:rsidR="00601D09" w:rsidRPr="00171323" w:rsidRDefault="00601D09" w:rsidP="00601D09">
      <w:pPr>
        <w:pStyle w:val="COMParaDecision"/>
        <w:ind w:left="709" w:hanging="709"/>
        <w:rPr>
          <w:u w:val="none"/>
        </w:rPr>
      </w:pPr>
      <w:r w:rsidRPr="00171323">
        <w:t>Recordando también</w:t>
      </w:r>
      <w:r w:rsidRPr="00171323">
        <w:rPr>
          <w:u w:val="none"/>
        </w:rPr>
        <w:t xml:space="preserve"> la resolución de consignación de créditos de la Conferencia General de la UNESCO para </w:t>
      </w:r>
      <w:bookmarkStart w:id="2" w:name="_Hlk150367455"/>
      <w:r w:rsidRPr="00171323">
        <w:rPr>
          <w:u w:val="none"/>
        </w:rPr>
        <w:t>2024-</w:t>
      </w:r>
      <w:bookmarkEnd w:id="2"/>
      <w:r w:rsidRPr="00171323">
        <w:rPr>
          <w:u w:val="none"/>
        </w:rPr>
        <w:t xml:space="preserve">2025 </w:t>
      </w:r>
      <w:r w:rsidRPr="00171323">
        <w:rPr>
          <w:color w:val="212121"/>
          <w:u w:val="none"/>
          <w:shd w:val="clear" w:color="auto" w:fill="FFFFFF"/>
        </w:rPr>
        <w:t>(</w:t>
      </w:r>
      <w:hyperlink r:id="rId32" w:history="1">
        <w:r w:rsidRPr="00171323">
          <w:rPr>
            <w:rStyle w:val="Lienhypertexte"/>
          </w:rPr>
          <w:t>42 C/Resolución 80</w:t>
        </w:r>
      </w:hyperlink>
      <w:r w:rsidRPr="00171323">
        <w:rPr>
          <w:color w:val="212121"/>
          <w:u w:val="none"/>
          <w:shd w:val="clear" w:color="auto" w:fill="FFFFFF"/>
        </w:rPr>
        <w:t>)</w:t>
      </w:r>
      <w:r w:rsidRPr="00171323">
        <w:rPr>
          <w:u w:val="none"/>
        </w:rPr>
        <w:t>,</w:t>
      </w:r>
    </w:p>
    <w:p w14:paraId="734EA787" w14:textId="77777777" w:rsidR="00601D09" w:rsidRPr="00171323" w:rsidRDefault="00601D09" w:rsidP="00601D09">
      <w:pPr>
        <w:pStyle w:val="COMParaDecision"/>
        <w:keepNext/>
        <w:keepLines/>
        <w:numPr>
          <w:ilvl w:val="0"/>
          <w:numId w:val="0"/>
        </w:numPr>
        <w:ind w:left="567" w:hanging="567"/>
        <w:rPr>
          <w:b/>
          <w:bCs/>
          <w:u w:val="none"/>
        </w:rPr>
      </w:pPr>
      <w:r w:rsidRPr="00171323">
        <w:rPr>
          <w:b/>
          <w:u w:val="none"/>
        </w:rPr>
        <w:t>Estado y tendencias del Fondo</w:t>
      </w:r>
    </w:p>
    <w:p w14:paraId="2B7DEABE" w14:textId="77777777" w:rsidR="00601D09" w:rsidRPr="00171323" w:rsidRDefault="00601D09" w:rsidP="00601D09">
      <w:pPr>
        <w:pStyle w:val="COMParaDecision"/>
        <w:ind w:left="709" w:hanging="709"/>
      </w:pPr>
      <w:r w:rsidRPr="00171323">
        <w:t>Toma nota</w:t>
      </w:r>
      <w:r w:rsidRPr="00171323">
        <w:rPr>
          <w:u w:val="none"/>
        </w:rPr>
        <w:t xml:space="preserve"> del estado de las contribuciones asignadas del Fondo para 2022-2023, </w:t>
      </w:r>
      <w:r w:rsidRPr="00171323">
        <w:t>recuerda</w:t>
      </w:r>
      <w:r w:rsidRPr="00171323">
        <w:rPr>
          <w:u w:val="none"/>
        </w:rPr>
        <w:t xml:space="preserve"> que el pago de las contribuciones asignadas voluntarias y obligatorias es, según el Artículo 26 de la Convención, una obligación que incumbe a todos los Estados Partes que han ratificado la Convención, y </w:t>
      </w:r>
      <w:r w:rsidRPr="00171323">
        <w:t>pide</w:t>
      </w:r>
      <w:r w:rsidRPr="00171323">
        <w:rPr>
          <w:u w:val="none"/>
        </w:rPr>
        <w:t xml:space="preserve"> a todos los Estados Partes que aún no hayan pagado la totalidad de sus contribuciones asignadas, incluidas las contribuciones asignadas voluntarias, que se aseguren de abonar sus contribuciones a su debido tiempo; </w:t>
      </w:r>
    </w:p>
    <w:p w14:paraId="18A348E0" w14:textId="77777777" w:rsidR="00601D09" w:rsidRPr="00171323" w:rsidRDefault="00601D09" w:rsidP="00601D09">
      <w:pPr>
        <w:pStyle w:val="COMParaDecision"/>
        <w:ind w:left="709" w:hanging="709"/>
        <w:rPr>
          <w:u w:val="none"/>
        </w:rPr>
      </w:pPr>
      <w:r w:rsidRPr="00171323">
        <w:t>Toma nota además</w:t>
      </w:r>
      <w:r w:rsidRPr="00171323">
        <w:rPr>
          <w:u w:val="none"/>
        </w:rPr>
        <w:t xml:space="preserve"> de los donantes que han proporcionado, durante el bienio 2022-2023, (a) contribuciones voluntarias complementarias para determinadas actividades aprobadas por el Comité, a saber, los Países Bajos y el Centro Internacional de Información y Redes sobre el Patrimonio Cultural Inmaterial para la Región de Asia y el Pacífico (ICHCAP), así como (b) contribuciones voluntarias complementarias al </w:t>
      </w:r>
      <w:proofErr w:type="spellStart"/>
      <w:r w:rsidRPr="00171323">
        <w:rPr>
          <w:u w:val="none"/>
        </w:rPr>
        <w:t>sub-fondo</w:t>
      </w:r>
      <w:proofErr w:type="spellEnd"/>
      <w:r w:rsidRPr="00171323">
        <w:rPr>
          <w:u w:val="none"/>
        </w:rPr>
        <w:t xml:space="preserve"> para reforzar las capacidades humanas de la Secretaría, a saber, Eslovaquia, Eslovenia, Francia, Lituania y Mónaco;</w:t>
      </w:r>
    </w:p>
    <w:p w14:paraId="4B2F88A6" w14:textId="77777777" w:rsidR="00601D09" w:rsidRPr="00171323" w:rsidRDefault="00601D09" w:rsidP="00601D09">
      <w:pPr>
        <w:pStyle w:val="COMParaDecision"/>
        <w:ind w:left="709" w:hanging="709"/>
      </w:pPr>
      <w:r w:rsidRPr="00171323">
        <w:t>Expresa agradecimiento</w:t>
      </w:r>
      <w:r w:rsidRPr="00171323">
        <w:rPr>
          <w:u w:val="none"/>
        </w:rPr>
        <w:t xml:space="preserve"> a todos los contribuyentes que, desde la última reunión, han aportado a la Convención y a su Secretaría distintos tipos de apoyo, financiero o en especie, en forma, por ejemplo, de contribuciones voluntarias complementarias al Fondo del Patrimonio Cultural Inmaterial y al </w:t>
      </w:r>
      <w:proofErr w:type="spellStart"/>
      <w:r w:rsidRPr="00171323">
        <w:rPr>
          <w:u w:val="none"/>
        </w:rPr>
        <w:t>sub-fondo</w:t>
      </w:r>
      <w:proofErr w:type="spellEnd"/>
      <w:r w:rsidRPr="00171323">
        <w:rPr>
          <w:u w:val="none"/>
        </w:rPr>
        <w:t xml:space="preserve"> para reforzar las capacidades humanas de la Secretaría, fondos fiduciarios o cesiones de personal, y</w:t>
      </w:r>
      <w:r w:rsidRPr="00171323">
        <w:t xml:space="preserve"> alienta</w:t>
      </w:r>
      <w:r w:rsidRPr="00171323">
        <w:rPr>
          <w:u w:val="none"/>
        </w:rPr>
        <w:t xml:space="preserve"> a los posibles contribuyentes a considerar la posibilidad de apoyar a la Convención utilizando la modalidad de su elección;</w:t>
      </w:r>
    </w:p>
    <w:p w14:paraId="799A28E2" w14:textId="77777777" w:rsidR="00601D09" w:rsidRPr="00171323" w:rsidRDefault="00601D09" w:rsidP="00601D09">
      <w:pPr>
        <w:pStyle w:val="COMParaDecision"/>
        <w:ind w:left="709" w:hanging="709"/>
      </w:pPr>
      <w:r w:rsidRPr="00171323">
        <w:t>Reitera</w:t>
      </w:r>
      <w:r w:rsidRPr="00171323">
        <w:rPr>
          <w:u w:val="none"/>
        </w:rPr>
        <w:t xml:space="preserve"> la necesidad de reforzar los recursos humanos de la Secretaría de forma duradera para que esta pueda responder mejor a las necesidades de los Estados Partes e </w:t>
      </w:r>
      <w:r w:rsidRPr="00171323">
        <w:t>invita</w:t>
      </w:r>
      <w:r w:rsidRPr="00171323">
        <w:rPr>
          <w:u w:val="none"/>
        </w:rPr>
        <w:t xml:space="preserve"> a los Estados Partes a proporcionar contribuciones voluntarias complementarias al </w:t>
      </w:r>
      <w:proofErr w:type="spellStart"/>
      <w:r w:rsidRPr="00171323">
        <w:rPr>
          <w:u w:val="none"/>
        </w:rPr>
        <w:t>sub-fondo</w:t>
      </w:r>
      <w:proofErr w:type="spellEnd"/>
      <w:r w:rsidRPr="00171323">
        <w:rPr>
          <w:u w:val="none"/>
        </w:rPr>
        <w:t xml:space="preserve"> para reforzar las capacidades humanas de la Secretaría;</w:t>
      </w:r>
    </w:p>
    <w:p w14:paraId="2A1F6B7A" w14:textId="77777777" w:rsidR="00601D09" w:rsidRPr="00171323" w:rsidRDefault="00601D09" w:rsidP="00601D09">
      <w:pPr>
        <w:pStyle w:val="COMParaDecision"/>
        <w:keepNext/>
        <w:keepLines/>
        <w:numPr>
          <w:ilvl w:val="0"/>
          <w:numId w:val="0"/>
        </w:numPr>
        <w:ind w:left="567" w:hanging="578"/>
        <w:rPr>
          <w:b/>
          <w:bCs/>
          <w:u w:val="none"/>
        </w:rPr>
      </w:pPr>
      <w:r w:rsidRPr="00171323">
        <w:rPr>
          <w:b/>
          <w:u w:val="none"/>
        </w:rPr>
        <w:t>Plan para la utilización de los recursos del Fondo</w:t>
      </w:r>
    </w:p>
    <w:p w14:paraId="126AE716" w14:textId="77777777" w:rsidR="00601D09" w:rsidRPr="00171323" w:rsidRDefault="00601D09" w:rsidP="00601D09">
      <w:pPr>
        <w:pStyle w:val="COMParaDecision"/>
        <w:ind w:left="709" w:hanging="720"/>
        <w:rPr>
          <w:u w:val="none"/>
        </w:rPr>
      </w:pPr>
      <w:r w:rsidRPr="00171323">
        <w:t>Aprueba</w:t>
      </w:r>
      <w:r w:rsidRPr="00171323">
        <w:rPr>
          <w:u w:val="none"/>
        </w:rPr>
        <w:t xml:space="preserve"> el Plan para la utilización de los recursos del Fondo para el periodo del 1 de enero de 2024 al 31 de diciembre de 2025, así como para el periodo del 1 de enero de 2026 al 30 de junio de 2026, en el Anexo de esta Resolución;</w:t>
      </w:r>
    </w:p>
    <w:p w14:paraId="2A300093" w14:textId="77777777" w:rsidR="00601D09" w:rsidRPr="00171323" w:rsidRDefault="00601D09" w:rsidP="00601D09">
      <w:pPr>
        <w:pStyle w:val="COMParaDecision"/>
        <w:ind w:left="709" w:hanging="720"/>
        <w:rPr>
          <w:u w:val="none"/>
        </w:rPr>
      </w:pPr>
      <w:r w:rsidRPr="00171323">
        <w:t>Comprende</w:t>
      </w:r>
      <w:r w:rsidRPr="00171323">
        <w:rPr>
          <w:u w:val="none"/>
        </w:rPr>
        <w:t xml:space="preserve"> que, en su undécima reunión en 2026, podría adaptar el Plan presupuestario del 1 de enero de 2026 al 30 de junio de 2026; si la Asamblea General no puede reunirse antes del 30 de junio de 2026, la Secretaría está autorizada a continuar sus operaciones hasta que la Asamblea General pueda reunirse;</w:t>
      </w:r>
    </w:p>
    <w:p w14:paraId="0E92C91E" w14:textId="77777777" w:rsidR="00601D09" w:rsidRPr="00171323" w:rsidRDefault="00601D09" w:rsidP="00601D09">
      <w:pPr>
        <w:pStyle w:val="COMParaDecision"/>
        <w:ind w:left="709" w:hanging="720"/>
        <w:rPr>
          <w:u w:val="none"/>
        </w:rPr>
      </w:pPr>
      <w:r w:rsidRPr="00171323">
        <w:t>Toma nota también</w:t>
      </w:r>
      <w:r w:rsidRPr="00171323">
        <w:rPr>
          <w:u w:val="none"/>
        </w:rPr>
        <w:t xml:space="preserve"> de la autorización otorgada por el Comité a la Secretaría para utilizar, con carácter experimental, un monto que no supere el 10 % del presupuesto aprobado para cada proyecto de asistencia internacional, además de la cantidad concedida por el Comité o su Mesa para cada proyecto, para el seguimiento y la evaluación del impacto de los proyectos respaldados por el Fondo;</w:t>
      </w:r>
    </w:p>
    <w:p w14:paraId="303A42D7" w14:textId="77777777" w:rsidR="00601D09" w:rsidRPr="00171323" w:rsidRDefault="00601D09" w:rsidP="00601D09">
      <w:pPr>
        <w:pStyle w:val="COMParaDecision"/>
        <w:ind w:left="709" w:hanging="720"/>
        <w:rPr>
          <w:u w:val="none"/>
        </w:rPr>
      </w:pPr>
      <w:r w:rsidRPr="00171323">
        <w:t>Acoge con beneplácito además</w:t>
      </w:r>
      <w:r w:rsidRPr="00171323">
        <w:rPr>
          <w:u w:val="none"/>
        </w:rPr>
        <w:t xml:space="preserve"> los ajustes en las asignaciones previstos para hacer operativos los resultados de la reflexión global sobre los mecanismos de listado de la Convención de 2003, en particular sobre una aplicación más amplia del Artículo 18 de la Convención; </w:t>
      </w:r>
    </w:p>
    <w:p w14:paraId="4622FBC3" w14:textId="77777777" w:rsidR="00601D09" w:rsidRPr="00171323" w:rsidRDefault="00601D09" w:rsidP="00601D09">
      <w:pPr>
        <w:pStyle w:val="COMParaDecision"/>
        <w:ind w:left="709" w:hanging="720"/>
      </w:pPr>
      <w:r w:rsidRPr="00171323">
        <w:lastRenderedPageBreak/>
        <w:t>Toma nota además</w:t>
      </w:r>
      <w:r w:rsidRPr="00171323">
        <w:rPr>
          <w:u w:val="none"/>
        </w:rPr>
        <w:t xml:space="preserve"> de la autorización otorgada por el Comité a la Secretaría, al utilizar los fondos asignados en la partida presupuestaria 3 del Plan, para realizar transferencias entre las actividades incluidas en la partida presupuestaria 3 hasta un monto acumulado equivalente al 5 % del monto inicial de la asignación total propuesta a la Asamblea General con este fin;</w:t>
      </w:r>
    </w:p>
    <w:p w14:paraId="47213085" w14:textId="77777777" w:rsidR="00601D09" w:rsidRPr="00171323" w:rsidRDefault="00601D09" w:rsidP="00601D09">
      <w:pPr>
        <w:pStyle w:val="COMParaDecision"/>
        <w:ind w:left="709" w:hanging="720"/>
        <w:rPr>
          <w:u w:val="none"/>
        </w:rPr>
      </w:pPr>
      <w:r w:rsidRPr="00171323">
        <w:t>Autoriza</w:t>
      </w:r>
      <w:r w:rsidRPr="00171323">
        <w:rPr>
          <w:u w:val="none"/>
        </w:rPr>
        <w:t xml:space="preserve"> al Comité a utilizar inmediatamente todas las contribuciones voluntarias complementarias que puedan recibirse durante esos periodos, como se indica en el Artículo 27 de la Convención, de acuerdo con los porcentajes establecidos en el Plan;</w:t>
      </w:r>
    </w:p>
    <w:p w14:paraId="5F4F3F7F" w14:textId="77777777" w:rsidR="00601D09" w:rsidRPr="00171323" w:rsidRDefault="00601D09" w:rsidP="00601D09">
      <w:pPr>
        <w:pStyle w:val="COMParaDecision"/>
        <w:ind w:left="709" w:hanging="720"/>
        <w:rPr>
          <w:u w:val="none"/>
        </w:rPr>
      </w:pPr>
      <w:r w:rsidRPr="00171323">
        <w:t>Autoriza además</w:t>
      </w:r>
      <w:r w:rsidRPr="00171323">
        <w:rPr>
          <w:u w:val="none"/>
        </w:rPr>
        <w:t xml:space="preserve"> al Comité a utilizar inmediatamente todas las contribuciones que pueda aceptar durante esos periodos con fines específicos, ligados a proyectos concretos, siempre y cuando esos proyectos cuenten con la aprobación del Comité antes de la recepción de los fondos, como se indica en el Artículo 25.5 de la Convención;</w:t>
      </w:r>
    </w:p>
    <w:p w14:paraId="6BF89557" w14:textId="5FBC1A2D" w:rsidR="00A61E8F" w:rsidRPr="00171323" w:rsidRDefault="00601D09" w:rsidP="00601D09">
      <w:pPr>
        <w:pStyle w:val="COMParaDecision"/>
        <w:ind w:left="709" w:hanging="720"/>
        <w:rPr>
          <w:u w:val="none"/>
        </w:rPr>
      </w:pPr>
      <w:r w:rsidRPr="00171323">
        <w:t>Autoriza también</w:t>
      </w:r>
      <w:r w:rsidRPr="00171323">
        <w:rPr>
          <w:u w:val="none"/>
        </w:rPr>
        <w:t xml:space="preserve"> a la Secretaría a realizar transferencias entre las partidas presupuestarias 4, 5, 6 y 7, hasta un equivalente del 30 % de su asignación total inicial, y solicita que la Secretaría informe por escrito al Comité y a la Asamblea General, en la reunión posterior a dicha acción, sobre los detalles y las razones de estas transferencias.</w:t>
      </w:r>
    </w:p>
    <w:p w14:paraId="4D509D68" w14:textId="1AFEE2DC" w:rsidR="00C04A22" w:rsidRPr="00171323" w:rsidRDefault="00C04A22" w:rsidP="00C04A22">
      <w:pPr>
        <w:pStyle w:val="COMParaDecision"/>
        <w:numPr>
          <w:ilvl w:val="0"/>
          <w:numId w:val="0"/>
        </w:numPr>
        <w:ind w:left="927"/>
        <w:jc w:val="center"/>
        <w:rPr>
          <w:b/>
          <w:bCs/>
        </w:rPr>
      </w:pPr>
      <w:r w:rsidRPr="00171323">
        <w:rPr>
          <w:b/>
          <w:bCs/>
        </w:rPr>
        <w:t>ANEXO</w:t>
      </w:r>
    </w:p>
    <w:tbl>
      <w:tblPr>
        <w:tblW w:w="9629" w:type="dxa"/>
        <w:tblCellMar>
          <w:left w:w="70" w:type="dxa"/>
          <w:right w:w="70" w:type="dxa"/>
        </w:tblCellMar>
        <w:tblLook w:val="04A0" w:firstRow="1" w:lastRow="0" w:firstColumn="1" w:lastColumn="0" w:noHBand="0" w:noVBand="1"/>
      </w:tblPr>
      <w:tblGrid>
        <w:gridCol w:w="571"/>
        <w:gridCol w:w="4948"/>
        <w:gridCol w:w="1401"/>
        <w:gridCol w:w="1434"/>
        <w:gridCol w:w="1275"/>
      </w:tblGrid>
      <w:tr w:rsidR="00402F34" w:rsidRPr="00171323" w14:paraId="14C9DD4F" w14:textId="77777777" w:rsidTr="00FA0D16">
        <w:trPr>
          <w:trHeight w:val="557"/>
        </w:trPr>
        <w:tc>
          <w:tcPr>
            <w:tcW w:w="6920"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24E14472" w14:textId="77777777" w:rsidR="008017DA" w:rsidRPr="00171323" w:rsidRDefault="008017DA" w:rsidP="004D494A">
            <w:pPr>
              <w:jc w:val="center"/>
              <w:rPr>
                <w:rFonts w:ascii="Arial" w:hAnsi="Arial"/>
                <w:color w:val="000000"/>
                <w:sz w:val="18"/>
              </w:rPr>
            </w:pPr>
            <w:r w:rsidRPr="00171323">
              <w:rPr>
                <w:rFonts w:ascii="Arial" w:hAnsi="Arial"/>
                <w:b/>
                <w:color w:val="000000"/>
                <w:sz w:val="18"/>
              </w:rPr>
              <w:t>Proyecto de Plan para la utilización de los recursos del Fondo</w:t>
            </w:r>
          </w:p>
        </w:tc>
        <w:tc>
          <w:tcPr>
            <w:tcW w:w="1434" w:type="dxa"/>
            <w:tcBorders>
              <w:top w:val="dashed" w:sz="4" w:space="0" w:color="auto"/>
              <w:left w:val="nil"/>
              <w:bottom w:val="dashed" w:sz="4" w:space="0" w:color="auto"/>
              <w:right w:val="dashed" w:sz="4" w:space="0" w:color="auto"/>
            </w:tcBorders>
            <w:shd w:val="clear" w:color="auto" w:fill="auto"/>
            <w:vAlign w:val="center"/>
          </w:tcPr>
          <w:p w14:paraId="710B9FA7" w14:textId="77777777" w:rsidR="008017DA" w:rsidRPr="00171323" w:rsidRDefault="008017DA" w:rsidP="004D494A">
            <w:pPr>
              <w:jc w:val="center"/>
              <w:rPr>
                <w:rFonts w:ascii="Arial" w:hAnsi="Arial"/>
                <w:color w:val="000000"/>
                <w:sz w:val="18"/>
              </w:rPr>
            </w:pPr>
          </w:p>
        </w:tc>
        <w:tc>
          <w:tcPr>
            <w:tcW w:w="1275" w:type="dxa"/>
            <w:tcBorders>
              <w:top w:val="dashed" w:sz="4" w:space="0" w:color="auto"/>
              <w:left w:val="nil"/>
              <w:bottom w:val="dashed" w:sz="4" w:space="0" w:color="auto"/>
              <w:right w:val="dashed" w:sz="4" w:space="0" w:color="auto"/>
            </w:tcBorders>
            <w:shd w:val="clear" w:color="auto" w:fill="auto"/>
            <w:vAlign w:val="center"/>
          </w:tcPr>
          <w:p w14:paraId="65F8CC7E" w14:textId="77777777" w:rsidR="008017DA" w:rsidRPr="00171323" w:rsidRDefault="008017DA" w:rsidP="004D494A">
            <w:pPr>
              <w:jc w:val="center"/>
              <w:rPr>
                <w:rFonts w:ascii="Arial" w:hAnsi="Arial"/>
                <w:color w:val="000000"/>
                <w:sz w:val="18"/>
              </w:rPr>
            </w:pPr>
          </w:p>
        </w:tc>
      </w:tr>
      <w:tr w:rsidR="00402F34" w:rsidRPr="00171323" w14:paraId="505D6F69" w14:textId="77777777" w:rsidTr="00FA0D16">
        <w:trPr>
          <w:trHeight w:val="1384"/>
        </w:trPr>
        <w:tc>
          <w:tcPr>
            <w:tcW w:w="551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F3BE9E1"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Para el periodo comprendido entre el 1 de enero de 2024 y el 31 de diciembre de 2025, y el periodo comprendido entre el 1 de enero y el 30 de junio de 2026, los recursos del Fondo del Patrimonio Cultural Inmaterial podrán ser utilizados para los siguientes objetivos:</w:t>
            </w:r>
          </w:p>
        </w:tc>
        <w:tc>
          <w:tcPr>
            <w:tcW w:w="1401" w:type="dxa"/>
            <w:tcBorders>
              <w:top w:val="nil"/>
              <w:left w:val="nil"/>
              <w:bottom w:val="single" w:sz="4" w:space="0" w:color="auto"/>
              <w:right w:val="single" w:sz="8" w:space="0" w:color="auto"/>
            </w:tcBorders>
            <w:shd w:val="clear" w:color="auto" w:fill="auto"/>
            <w:vAlign w:val="center"/>
            <w:hideMark/>
          </w:tcPr>
          <w:p w14:paraId="58882FD5"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 de la cantidad total propuesta 2024-2025 [1]</w:t>
            </w:r>
          </w:p>
        </w:tc>
        <w:tc>
          <w:tcPr>
            <w:tcW w:w="1434" w:type="dxa"/>
            <w:tcBorders>
              <w:top w:val="nil"/>
              <w:left w:val="nil"/>
              <w:bottom w:val="dashed" w:sz="4" w:space="0" w:color="auto"/>
              <w:right w:val="dashed" w:sz="4" w:space="0" w:color="auto"/>
            </w:tcBorders>
            <w:shd w:val="clear" w:color="auto" w:fill="auto"/>
            <w:vAlign w:val="center"/>
            <w:hideMark/>
          </w:tcPr>
          <w:p w14:paraId="7B9FE913"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Cantidades indicativas</w:t>
            </w:r>
            <w:r w:rsidRPr="00171323">
              <w:rPr>
                <w:rFonts w:ascii="Arial" w:hAnsi="Arial"/>
                <w:color w:val="000000"/>
                <w:sz w:val="18"/>
              </w:rPr>
              <w:br/>
              <w:t>2024-2025</w:t>
            </w:r>
          </w:p>
        </w:tc>
        <w:tc>
          <w:tcPr>
            <w:tcW w:w="1275" w:type="dxa"/>
            <w:tcBorders>
              <w:top w:val="nil"/>
              <w:left w:val="nil"/>
              <w:bottom w:val="dashed" w:sz="4" w:space="0" w:color="auto"/>
              <w:right w:val="dashed" w:sz="4" w:space="0" w:color="auto"/>
            </w:tcBorders>
            <w:shd w:val="clear" w:color="auto" w:fill="auto"/>
            <w:vAlign w:val="center"/>
            <w:hideMark/>
          </w:tcPr>
          <w:p w14:paraId="40BD70EB"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Cantidades indicativas</w:t>
            </w:r>
            <w:r w:rsidRPr="00171323">
              <w:rPr>
                <w:rFonts w:ascii="Arial" w:hAnsi="Arial"/>
                <w:color w:val="000000"/>
                <w:sz w:val="18"/>
              </w:rPr>
              <w:br/>
              <w:t>enero-junio 2026</w:t>
            </w:r>
          </w:p>
        </w:tc>
      </w:tr>
      <w:tr w:rsidR="00402F34" w:rsidRPr="00171323" w14:paraId="67940CAD" w14:textId="77777777" w:rsidTr="00FA0D16">
        <w:trPr>
          <w:trHeight w:val="1880"/>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5D75922F"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1.</w:t>
            </w:r>
          </w:p>
        </w:tc>
        <w:tc>
          <w:tcPr>
            <w:tcW w:w="4948" w:type="dxa"/>
            <w:tcBorders>
              <w:top w:val="nil"/>
              <w:left w:val="nil"/>
              <w:bottom w:val="single" w:sz="4" w:space="0" w:color="auto"/>
              <w:right w:val="single" w:sz="4" w:space="0" w:color="auto"/>
            </w:tcBorders>
            <w:shd w:val="clear" w:color="auto" w:fill="auto"/>
            <w:vAlign w:val="center"/>
            <w:hideMark/>
          </w:tcPr>
          <w:p w14:paraId="02761056"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Asistencia internacional, incluyendo la salvaguardia del patrimonio inscrito en la Lista del Patrimonio Cultural Inmaterial que requiere medidas urgentes de salvaguardia, la preparación de inventarios y el apoyo a otros programas, proyectos y actividades de salvaguardia, incluyendo el seguimiento y la evaluación de las solicitudes aprobadas;</w:t>
            </w:r>
          </w:p>
        </w:tc>
        <w:tc>
          <w:tcPr>
            <w:tcW w:w="1401" w:type="dxa"/>
            <w:tcBorders>
              <w:top w:val="nil"/>
              <w:left w:val="nil"/>
              <w:bottom w:val="single" w:sz="4" w:space="0" w:color="auto"/>
              <w:right w:val="single" w:sz="8" w:space="0" w:color="auto"/>
            </w:tcBorders>
            <w:shd w:val="clear" w:color="auto" w:fill="auto"/>
            <w:vAlign w:val="center"/>
            <w:hideMark/>
          </w:tcPr>
          <w:p w14:paraId="065D5F01"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50,00 %</w:t>
            </w:r>
          </w:p>
        </w:tc>
        <w:tc>
          <w:tcPr>
            <w:tcW w:w="1434" w:type="dxa"/>
            <w:tcBorders>
              <w:top w:val="nil"/>
              <w:left w:val="nil"/>
              <w:bottom w:val="dashed" w:sz="4" w:space="0" w:color="auto"/>
              <w:right w:val="dashed" w:sz="4" w:space="0" w:color="auto"/>
            </w:tcBorders>
            <w:shd w:val="clear" w:color="auto" w:fill="auto"/>
            <w:vAlign w:val="center"/>
            <w:hideMark/>
          </w:tcPr>
          <w:p w14:paraId="47125FD7"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4.094.789 $</w:t>
            </w:r>
          </w:p>
        </w:tc>
        <w:tc>
          <w:tcPr>
            <w:tcW w:w="1275" w:type="dxa"/>
            <w:tcBorders>
              <w:top w:val="nil"/>
              <w:left w:val="nil"/>
              <w:bottom w:val="dashed" w:sz="4" w:space="0" w:color="auto"/>
              <w:right w:val="dashed" w:sz="4" w:space="0" w:color="auto"/>
            </w:tcBorders>
            <w:shd w:val="clear" w:color="auto" w:fill="auto"/>
            <w:vAlign w:val="center"/>
            <w:hideMark/>
          </w:tcPr>
          <w:p w14:paraId="26F3879A"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1.023.697 $</w:t>
            </w:r>
          </w:p>
        </w:tc>
      </w:tr>
      <w:tr w:rsidR="00402F34" w:rsidRPr="00171323" w14:paraId="659C5102" w14:textId="77777777" w:rsidTr="00FA0D16">
        <w:trPr>
          <w:trHeight w:val="1068"/>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5FD9A727"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1.1</w:t>
            </w:r>
          </w:p>
        </w:tc>
        <w:tc>
          <w:tcPr>
            <w:tcW w:w="4948" w:type="dxa"/>
            <w:tcBorders>
              <w:top w:val="nil"/>
              <w:left w:val="nil"/>
              <w:bottom w:val="single" w:sz="4" w:space="0" w:color="auto"/>
              <w:right w:val="single" w:sz="4" w:space="0" w:color="auto"/>
            </w:tcBorders>
            <w:shd w:val="clear" w:color="auto" w:fill="auto"/>
            <w:vAlign w:val="center"/>
            <w:hideMark/>
          </w:tcPr>
          <w:p w14:paraId="3BEE7E80"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Refuerzo de los recursos humanos para mejorar la implementación de los mecanismos de asistencia internacional a través de tres puestos extrapresupuestarios de plazo fijo (un P3, un P2 y un G5);</w:t>
            </w:r>
          </w:p>
        </w:tc>
        <w:tc>
          <w:tcPr>
            <w:tcW w:w="1401" w:type="dxa"/>
            <w:tcBorders>
              <w:top w:val="nil"/>
              <w:left w:val="nil"/>
              <w:bottom w:val="single" w:sz="4" w:space="0" w:color="auto"/>
              <w:right w:val="single" w:sz="8" w:space="0" w:color="auto"/>
            </w:tcBorders>
            <w:shd w:val="clear" w:color="auto" w:fill="auto"/>
            <w:vAlign w:val="center"/>
            <w:hideMark/>
          </w:tcPr>
          <w:p w14:paraId="4777CD97"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12,30 %</w:t>
            </w:r>
          </w:p>
        </w:tc>
        <w:tc>
          <w:tcPr>
            <w:tcW w:w="1434" w:type="dxa"/>
            <w:tcBorders>
              <w:top w:val="nil"/>
              <w:left w:val="nil"/>
              <w:bottom w:val="dashed" w:sz="4" w:space="0" w:color="auto"/>
              <w:right w:val="dashed" w:sz="4" w:space="0" w:color="auto"/>
            </w:tcBorders>
            <w:shd w:val="clear" w:color="auto" w:fill="auto"/>
            <w:vAlign w:val="center"/>
            <w:hideMark/>
          </w:tcPr>
          <w:p w14:paraId="5A16F292"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1.007.318 $</w:t>
            </w:r>
          </w:p>
        </w:tc>
        <w:tc>
          <w:tcPr>
            <w:tcW w:w="1275" w:type="dxa"/>
            <w:tcBorders>
              <w:top w:val="nil"/>
              <w:left w:val="nil"/>
              <w:bottom w:val="dashed" w:sz="4" w:space="0" w:color="auto"/>
              <w:right w:val="dashed" w:sz="4" w:space="0" w:color="auto"/>
            </w:tcBorders>
            <w:shd w:val="clear" w:color="auto" w:fill="auto"/>
            <w:vAlign w:val="center"/>
            <w:hideMark/>
          </w:tcPr>
          <w:p w14:paraId="3D64A747"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251.830 $</w:t>
            </w:r>
          </w:p>
        </w:tc>
      </w:tr>
      <w:tr w:rsidR="00402F34" w:rsidRPr="00171323" w14:paraId="6BA49472" w14:textId="77777777" w:rsidTr="00FA0D16">
        <w:trPr>
          <w:trHeight w:val="932"/>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09405B0A"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2.</w:t>
            </w:r>
          </w:p>
        </w:tc>
        <w:tc>
          <w:tcPr>
            <w:tcW w:w="4948" w:type="dxa"/>
            <w:tcBorders>
              <w:top w:val="nil"/>
              <w:left w:val="nil"/>
              <w:bottom w:val="single" w:sz="4" w:space="0" w:color="auto"/>
              <w:right w:val="single" w:sz="4" w:space="0" w:color="auto"/>
            </w:tcBorders>
            <w:shd w:val="clear" w:color="auto" w:fill="auto"/>
            <w:vAlign w:val="center"/>
            <w:hideMark/>
          </w:tcPr>
          <w:p w14:paraId="04F1427D"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 xml:space="preserve">Asistencia preparatoria para las solicitudes de asistencia internacional, las candidaturas y las propuestas de las Listas y el Registro de la Convención; </w:t>
            </w:r>
          </w:p>
        </w:tc>
        <w:tc>
          <w:tcPr>
            <w:tcW w:w="1401" w:type="dxa"/>
            <w:tcBorders>
              <w:top w:val="nil"/>
              <w:left w:val="nil"/>
              <w:bottom w:val="single" w:sz="4" w:space="0" w:color="auto"/>
              <w:right w:val="single" w:sz="8" w:space="0" w:color="auto"/>
            </w:tcBorders>
            <w:shd w:val="clear" w:color="auto" w:fill="auto"/>
            <w:vAlign w:val="center"/>
            <w:hideMark/>
          </w:tcPr>
          <w:p w14:paraId="36905D33"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2,80 %</w:t>
            </w:r>
          </w:p>
        </w:tc>
        <w:tc>
          <w:tcPr>
            <w:tcW w:w="1434" w:type="dxa"/>
            <w:tcBorders>
              <w:top w:val="nil"/>
              <w:left w:val="nil"/>
              <w:bottom w:val="dashed" w:sz="4" w:space="0" w:color="auto"/>
              <w:right w:val="dashed" w:sz="4" w:space="0" w:color="auto"/>
            </w:tcBorders>
            <w:shd w:val="clear" w:color="auto" w:fill="auto"/>
            <w:vAlign w:val="center"/>
            <w:hideMark/>
          </w:tcPr>
          <w:p w14:paraId="5B54324F"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229.308 $</w:t>
            </w:r>
          </w:p>
        </w:tc>
        <w:tc>
          <w:tcPr>
            <w:tcW w:w="1275" w:type="dxa"/>
            <w:tcBorders>
              <w:top w:val="nil"/>
              <w:left w:val="nil"/>
              <w:bottom w:val="dashed" w:sz="4" w:space="0" w:color="auto"/>
              <w:right w:val="dashed" w:sz="4" w:space="0" w:color="auto"/>
            </w:tcBorders>
            <w:shd w:val="clear" w:color="auto" w:fill="auto"/>
            <w:vAlign w:val="center"/>
            <w:hideMark/>
          </w:tcPr>
          <w:p w14:paraId="481AF729"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57.327 $</w:t>
            </w:r>
          </w:p>
        </w:tc>
      </w:tr>
      <w:tr w:rsidR="00402F34" w:rsidRPr="00171323" w14:paraId="2992BAE9" w14:textId="77777777" w:rsidTr="00FA0D16">
        <w:trPr>
          <w:trHeight w:val="2557"/>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124A0776"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3.</w:t>
            </w:r>
          </w:p>
        </w:tc>
        <w:tc>
          <w:tcPr>
            <w:tcW w:w="4948" w:type="dxa"/>
            <w:tcBorders>
              <w:top w:val="nil"/>
              <w:left w:val="nil"/>
              <w:bottom w:val="single" w:sz="4" w:space="0" w:color="auto"/>
              <w:right w:val="single" w:sz="4" w:space="0" w:color="auto"/>
            </w:tcBorders>
            <w:shd w:val="clear" w:color="auto" w:fill="auto"/>
            <w:vAlign w:val="center"/>
            <w:hideMark/>
          </w:tcPr>
          <w:p w14:paraId="3D0CFDC1"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 xml:space="preserve">Otras funciones del Comité, tal como se describen en el Artículo 7 de la Convención, con la finalidad de promover los objetivos de la Convención y fomentar y dar seguimiento a su aplicación, en particular, a través del fortalecimiento de capacidades para salvaguardar de manera efectiva el patrimonio cultural inmaterial, sensibilizar acerca de la importancia de este patrimonio, proporcionar orientaciones sobre las buenas prácticas de salvaguardia y actualizar y publicar las listas y el Registro de Buenas Prácticas de Salvaguardia: </w:t>
            </w:r>
          </w:p>
        </w:tc>
        <w:tc>
          <w:tcPr>
            <w:tcW w:w="1401" w:type="dxa"/>
            <w:tcBorders>
              <w:top w:val="nil"/>
              <w:left w:val="nil"/>
              <w:bottom w:val="single" w:sz="4" w:space="0" w:color="auto"/>
              <w:right w:val="single" w:sz="8" w:space="0" w:color="auto"/>
            </w:tcBorders>
            <w:shd w:val="clear" w:color="auto" w:fill="auto"/>
            <w:vAlign w:val="center"/>
            <w:hideMark/>
          </w:tcPr>
          <w:p w14:paraId="366F9E52"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20,00 %</w:t>
            </w:r>
          </w:p>
        </w:tc>
        <w:tc>
          <w:tcPr>
            <w:tcW w:w="1434" w:type="dxa"/>
            <w:tcBorders>
              <w:top w:val="nil"/>
              <w:left w:val="nil"/>
              <w:bottom w:val="dashed" w:sz="4" w:space="0" w:color="auto"/>
              <w:right w:val="dashed" w:sz="4" w:space="0" w:color="auto"/>
            </w:tcBorders>
            <w:shd w:val="clear" w:color="auto" w:fill="auto"/>
            <w:vAlign w:val="center"/>
            <w:hideMark/>
          </w:tcPr>
          <w:p w14:paraId="73197505"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1.637.916 $</w:t>
            </w:r>
          </w:p>
        </w:tc>
        <w:tc>
          <w:tcPr>
            <w:tcW w:w="1275" w:type="dxa"/>
            <w:tcBorders>
              <w:top w:val="nil"/>
              <w:left w:val="nil"/>
              <w:bottom w:val="dashed" w:sz="4" w:space="0" w:color="auto"/>
              <w:right w:val="dashed" w:sz="4" w:space="0" w:color="auto"/>
            </w:tcBorders>
            <w:shd w:val="clear" w:color="auto" w:fill="auto"/>
            <w:vAlign w:val="center"/>
            <w:hideMark/>
          </w:tcPr>
          <w:p w14:paraId="32AB3ABA"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409.479 $</w:t>
            </w:r>
          </w:p>
        </w:tc>
      </w:tr>
      <w:tr w:rsidR="00171323" w:rsidRPr="00171323" w14:paraId="150B0F60" w14:textId="77777777" w:rsidTr="00FA0D16">
        <w:trPr>
          <w:trHeight w:val="480"/>
        </w:trPr>
        <w:tc>
          <w:tcPr>
            <w:tcW w:w="571" w:type="dxa"/>
            <w:vMerge w:val="restart"/>
            <w:tcBorders>
              <w:top w:val="nil"/>
              <w:left w:val="single" w:sz="8" w:space="0" w:color="auto"/>
              <w:bottom w:val="single" w:sz="4" w:space="0" w:color="auto"/>
              <w:right w:val="single" w:sz="4" w:space="0" w:color="auto"/>
            </w:tcBorders>
            <w:shd w:val="clear" w:color="000000" w:fill="E7E6E6"/>
            <w:noWrap/>
            <w:vAlign w:val="center"/>
            <w:hideMark/>
          </w:tcPr>
          <w:p w14:paraId="79EE6BDA"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 </w:t>
            </w:r>
          </w:p>
        </w:tc>
        <w:tc>
          <w:tcPr>
            <w:tcW w:w="4948" w:type="dxa"/>
            <w:vMerge w:val="restart"/>
            <w:tcBorders>
              <w:top w:val="nil"/>
              <w:left w:val="single" w:sz="4" w:space="0" w:color="auto"/>
              <w:bottom w:val="single" w:sz="4" w:space="0" w:color="auto"/>
              <w:right w:val="single" w:sz="4" w:space="0" w:color="auto"/>
            </w:tcBorders>
            <w:shd w:val="clear" w:color="000000" w:fill="E7E6E6"/>
            <w:vAlign w:val="center"/>
            <w:hideMark/>
          </w:tcPr>
          <w:p w14:paraId="4AAC81B5" w14:textId="77777777" w:rsidR="008017DA" w:rsidRPr="00171323" w:rsidRDefault="008017DA" w:rsidP="004D494A">
            <w:pPr>
              <w:rPr>
                <w:rFonts w:ascii="Arial" w:hAnsi="Arial" w:cs="Arial"/>
                <w:b/>
                <w:i/>
                <w:color w:val="000000"/>
                <w:sz w:val="16"/>
                <w:szCs w:val="16"/>
              </w:rPr>
            </w:pPr>
            <w:proofErr w:type="gramStart"/>
            <w:r w:rsidRPr="00171323">
              <w:rPr>
                <w:rFonts w:ascii="Arial" w:hAnsi="Arial"/>
                <w:b/>
                <w:i/>
                <w:color w:val="000000"/>
                <w:sz w:val="16"/>
              </w:rPr>
              <w:t>RE 1</w:t>
            </w:r>
            <w:proofErr w:type="gramEnd"/>
            <w:r w:rsidRPr="00171323">
              <w:rPr>
                <w:rFonts w:ascii="Arial" w:hAnsi="Arial"/>
                <w:b/>
                <w:i/>
                <w:color w:val="000000"/>
                <w:sz w:val="16"/>
              </w:rPr>
              <w:t xml:space="preserve">: Implementación de la Convención fomentada mediante un programa de fortalecimiento de capacidades reforzado y </w:t>
            </w:r>
            <w:r w:rsidRPr="00171323">
              <w:rPr>
                <w:rFonts w:ascii="Arial" w:hAnsi="Arial"/>
                <w:b/>
                <w:i/>
                <w:color w:val="000000"/>
                <w:sz w:val="16"/>
              </w:rPr>
              <w:lastRenderedPageBreak/>
              <w:t>promoción de la integración del patrimonio cultural inmaterial en los planes, políticas y programas de desarrollo</w:t>
            </w:r>
          </w:p>
        </w:tc>
        <w:tc>
          <w:tcPr>
            <w:tcW w:w="1401" w:type="dxa"/>
            <w:vMerge w:val="restart"/>
            <w:tcBorders>
              <w:top w:val="nil"/>
              <w:left w:val="single" w:sz="4" w:space="0" w:color="auto"/>
              <w:bottom w:val="single" w:sz="4" w:space="0" w:color="auto"/>
              <w:right w:val="single" w:sz="8" w:space="0" w:color="auto"/>
            </w:tcBorders>
            <w:shd w:val="clear" w:color="000000" w:fill="E7E6E6"/>
            <w:vAlign w:val="center"/>
            <w:hideMark/>
          </w:tcPr>
          <w:p w14:paraId="56F8CBCD" w14:textId="77777777" w:rsidR="008017DA" w:rsidRPr="00171323" w:rsidRDefault="008017DA" w:rsidP="004D494A">
            <w:pPr>
              <w:jc w:val="center"/>
              <w:rPr>
                <w:rFonts w:ascii="Arial" w:hAnsi="Arial" w:cs="Arial"/>
                <w:i/>
                <w:iCs/>
                <w:color w:val="000000"/>
                <w:sz w:val="16"/>
                <w:szCs w:val="16"/>
              </w:rPr>
            </w:pPr>
            <w:r w:rsidRPr="00171323">
              <w:rPr>
                <w:rFonts w:ascii="Arial" w:hAnsi="Arial"/>
                <w:i/>
                <w:color w:val="000000"/>
                <w:sz w:val="16"/>
              </w:rPr>
              <w:lastRenderedPageBreak/>
              <w:t>10,4 %</w:t>
            </w:r>
          </w:p>
        </w:tc>
        <w:tc>
          <w:tcPr>
            <w:tcW w:w="1434" w:type="dxa"/>
            <w:vMerge w:val="restart"/>
            <w:tcBorders>
              <w:top w:val="nil"/>
              <w:left w:val="nil"/>
              <w:bottom w:val="dashed" w:sz="4" w:space="0" w:color="auto"/>
              <w:right w:val="dashed" w:sz="4" w:space="0" w:color="auto"/>
            </w:tcBorders>
            <w:shd w:val="clear" w:color="000000" w:fill="E7E6E6"/>
            <w:vAlign w:val="center"/>
            <w:hideMark/>
          </w:tcPr>
          <w:p w14:paraId="21AF6984"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851.716 $</w:t>
            </w:r>
          </w:p>
        </w:tc>
        <w:tc>
          <w:tcPr>
            <w:tcW w:w="1275" w:type="dxa"/>
            <w:vMerge w:val="restart"/>
            <w:tcBorders>
              <w:top w:val="nil"/>
              <w:left w:val="dashed" w:sz="4" w:space="0" w:color="auto"/>
              <w:bottom w:val="dashed" w:sz="4" w:space="0" w:color="auto"/>
              <w:right w:val="dashed" w:sz="4" w:space="0" w:color="auto"/>
            </w:tcBorders>
            <w:shd w:val="clear" w:color="000000" w:fill="E7E6E6"/>
            <w:vAlign w:val="center"/>
            <w:hideMark/>
          </w:tcPr>
          <w:p w14:paraId="616FB1F6"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212.929 $</w:t>
            </w:r>
          </w:p>
        </w:tc>
      </w:tr>
      <w:tr w:rsidR="00402F34" w:rsidRPr="00171323" w14:paraId="3BEE5870"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645983A8"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591C9D32" w14:textId="77777777" w:rsidR="008017DA" w:rsidRPr="00171323" w:rsidRDefault="008017DA" w:rsidP="004D494A">
            <w:pPr>
              <w:rPr>
                <w:rFonts w:ascii="Arial" w:hAnsi="Arial" w:cs="Arial"/>
                <w:b/>
                <w:i/>
                <w:color w:val="000000"/>
                <w:sz w:val="16"/>
                <w:szCs w:val="16"/>
              </w:rPr>
            </w:pPr>
          </w:p>
        </w:tc>
        <w:tc>
          <w:tcPr>
            <w:tcW w:w="1401" w:type="dxa"/>
            <w:vMerge/>
            <w:tcBorders>
              <w:top w:val="nil"/>
              <w:left w:val="single" w:sz="4" w:space="0" w:color="auto"/>
              <w:bottom w:val="single" w:sz="4" w:space="0" w:color="auto"/>
              <w:right w:val="single" w:sz="8" w:space="0" w:color="auto"/>
            </w:tcBorders>
            <w:vAlign w:val="center"/>
            <w:hideMark/>
          </w:tcPr>
          <w:p w14:paraId="39C766D9" w14:textId="77777777" w:rsidR="008017DA" w:rsidRPr="00171323" w:rsidRDefault="008017DA" w:rsidP="004D494A">
            <w:pPr>
              <w:jc w:val="center"/>
              <w:rPr>
                <w:rFonts w:ascii="Arial" w:hAnsi="Arial" w:cs="Arial"/>
                <w:i/>
                <w:iCs/>
                <w:color w:val="000000"/>
                <w:sz w:val="16"/>
                <w:szCs w:val="16"/>
              </w:rPr>
            </w:pPr>
          </w:p>
        </w:tc>
        <w:tc>
          <w:tcPr>
            <w:tcW w:w="1434" w:type="dxa"/>
            <w:vMerge/>
            <w:tcBorders>
              <w:top w:val="nil"/>
              <w:left w:val="nil"/>
              <w:bottom w:val="dashed" w:sz="4" w:space="0" w:color="auto"/>
              <w:right w:val="dashed" w:sz="4" w:space="0" w:color="auto"/>
            </w:tcBorders>
            <w:vAlign w:val="center"/>
            <w:hideMark/>
          </w:tcPr>
          <w:p w14:paraId="31C16AF3"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6430B721" w14:textId="77777777" w:rsidR="008017DA" w:rsidRPr="00171323" w:rsidRDefault="008017DA" w:rsidP="004D494A">
            <w:pPr>
              <w:rPr>
                <w:rFonts w:ascii="Arial" w:hAnsi="Arial" w:cs="Arial"/>
                <w:i/>
                <w:iCs/>
                <w:color w:val="000000"/>
                <w:sz w:val="18"/>
                <w:szCs w:val="18"/>
              </w:rPr>
            </w:pPr>
          </w:p>
        </w:tc>
      </w:tr>
      <w:tr w:rsidR="00402F34" w:rsidRPr="00171323" w14:paraId="57D4A2BF"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41C3864C"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0503E1A3" w14:textId="77777777" w:rsidR="008017DA" w:rsidRPr="00171323" w:rsidRDefault="008017DA" w:rsidP="004D494A">
            <w:pPr>
              <w:rPr>
                <w:rFonts w:ascii="Arial" w:hAnsi="Arial" w:cs="Arial"/>
                <w:b/>
                <w:i/>
                <w:color w:val="000000"/>
                <w:sz w:val="16"/>
                <w:szCs w:val="16"/>
              </w:rPr>
            </w:pPr>
          </w:p>
        </w:tc>
        <w:tc>
          <w:tcPr>
            <w:tcW w:w="1401" w:type="dxa"/>
            <w:vMerge w:val="restart"/>
            <w:tcBorders>
              <w:top w:val="nil"/>
              <w:left w:val="single" w:sz="4" w:space="0" w:color="auto"/>
              <w:bottom w:val="single" w:sz="4" w:space="0" w:color="auto"/>
              <w:right w:val="single" w:sz="8" w:space="0" w:color="auto"/>
            </w:tcBorders>
            <w:shd w:val="clear" w:color="000000" w:fill="E7E6E6"/>
            <w:vAlign w:val="center"/>
            <w:hideMark/>
          </w:tcPr>
          <w:p w14:paraId="00F3DD65" w14:textId="77777777" w:rsidR="008017DA" w:rsidRPr="00171323" w:rsidRDefault="008017DA" w:rsidP="004D494A">
            <w:pPr>
              <w:jc w:val="center"/>
              <w:rPr>
                <w:rFonts w:ascii="Arial" w:hAnsi="Arial" w:cs="Arial"/>
                <w:i/>
                <w:iCs/>
                <w:color w:val="000000"/>
                <w:sz w:val="16"/>
                <w:szCs w:val="16"/>
              </w:rPr>
            </w:pPr>
            <w:r w:rsidRPr="00171323">
              <w:rPr>
                <w:rFonts w:ascii="Arial" w:hAnsi="Arial"/>
                <w:i/>
                <w:color w:val="000000"/>
                <w:sz w:val="16"/>
              </w:rPr>
              <w:t>(52 % de la partida 3)</w:t>
            </w:r>
          </w:p>
        </w:tc>
        <w:tc>
          <w:tcPr>
            <w:tcW w:w="1434" w:type="dxa"/>
            <w:vMerge/>
            <w:tcBorders>
              <w:top w:val="nil"/>
              <w:left w:val="nil"/>
              <w:bottom w:val="dashed" w:sz="4" w:space="0" w:color="auto"/>
              <w:right w:val="dashed" w:sz="4" w:space="0" w:color="auto"/>
            </w:tcBorders>
            <w:vAlign w:val="center"/>
            <w:hideMark/>
          </w:tcPr>
          <w:p w14:paraId="2681217E"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42EEA249" w14:textId="77777777" w:rsidR="008017DA" w:rsidRPr="00171323" w:rsidRDefault="008017DA" w:rsidP="004D494A">
            <w:pPr>
              <w:rPr>
                <w:rFonts w:ascii="Arial" w:hAnsi="Arial" w:cs="Arial"/>
                <w:i/>
                <w:iCs/>
                <w:color w:val="000000"/>
                <w:sz w:val="18"/>
                <w:szCs w:val="18"/>
              </w:rPr>
            </w:pPr>
          </w:p>
        </w:tc>
      </w:tr>
      <w:tr w:rsidR="00402F34" w:rsidRPr="00171323" w14:paraId="3E7C909B"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137461D7"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72DA3085" w14:textId="77777777" w:rsidR="008017DA" w:rsidRPr="00171323" w:rsidRDefault="008017DA" w:rsidP="004D494A">
            <w:pPr>
              <w:rPr>
                <w:rFonts w:ascii="Arial" w:hAnsi="Arial" w:cs="Arial"/>
                <w:b/>
                <w:i/>
                <w:color w:val="000000"/>
                <w:sz w:val="16"/>
                <w:szCs w:val="16"/>
              </w:rPr>
            </w:pPr>
          </w:p>
        </w:tc>
        <w:tc>
          <w:tcPr>
            <w:tcW w:w="1401" w:type="dxa"/>
            <w:vMerge/>
            <w:tcBorders>
              <w:top w:val="nil"/>
              <w:left w:val="single" w:sz="4" w:space="0" w:color="auto"/>
              <w:bottom w:val="single" w:sz="4" w:space="0" w:color="auto"/>
              <w:right w:val="single" w:sz="8" w:space="0" w:color="auto"/>
            </w:tcBorders>
            <w:vAlign w:val="center"/>
            <w:hideMark/>
          </w:tcPr>
          <w:p w14:paraId="37846018" w14:textId="77777777" w:rsidR="008017DA" w:rsidRPr="00171323" w:rsidRDefault="008017DA" w:rsidP="004D494A">
            <w:pPr>
              <w:jc w:val="center"/>
              <w:rPr>
                <w:rFonts w:ascii="Arial" w:hAnsi="Arial" w:cs="Arial"/>
                <w:i/>
                <w:iCs/>
                <w:color w:val="000000"/>
                <w:sz w:val="16"/>
                <w:szCs w:val="16"/>
              </w:rPr>
            </w:pPr>
          </w:p>
        </w:tc>
        <w:tc>
          <w:tcPr>
            <w:tcW w:w="1434" w:type="dxa"/>
            <w:vMerge/>
            <w:tcBorders>
              <w:top w:val="nil"/>
              <w:left w:val="nil"/>
              <w:bottom w:val="dashed" w:sz="4" w:space="0" w:color="auto"/>
              <w:right w:val="dashed" w:sz="4" w:space="0" w:color="auto"/>
            </w:tcBorders>
            <w:vAlign w:val="center"/>
            <w:hideMark/>
          </w:tcPr>
          <w:p w14:paraId="6C674345"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508CA401" w14:textId="77777777" w:rsidR="008017DA" w:rsidRPr="00171323" w:rsidRDefault="008017DA" w:rsidP="004D494A">
            <w:pPr>
              <w:rPr>
                <w:rFonts w:ascii="Arial" w:hAnsi="Arial" w:cs="Arial"/>
                <w:i/>
                <w:iCs/>
                <w:color w:val="000000"/>
                <w:sz w:val="18"/>
                <w:szCs w:val="18"/>
              </w:rPr>
            </w:pPr>
          </w:p>
        </w:tc>
      </w:tr>
      <w:tr w:rsidR="00171323" w:rsidRPr="00171323" w14:paraId="5987B9E9" w14:textId="77777777" w:rsidTr="00FA0D16">
        <w:trPr>
          <w:trHeight w:val="480"/>
        </w:trPr>
        <w:tc>
          <w:tcPr>
            <w:tcW w:w="571" w:type="dxa"/>
            <w:vMerge w:val="restart"/>
            <w:tcBorders>
              <w:top w:val="nil"/>
              <w:left w:val="single" w:sz="8" w:space="0" w:color="auto"/>
              <w:bottom w:val="single" w:sz="4" w:space="0" w:color="auto"/>
              <w:right w:val="single" w:sz="4" w:space="0" w:color="auto"/>
            </w:tcBorders>
            <w:shd w:val="clear" w:color="000000" w:fill="E7E6E6"/>
            <w:noWrap/>
            <w:vAlign w:val="center"/>
            <w:hideMark/>
          </w:tcPr>
          <w:p w14:paraId="4BC466C5"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 </w:t>
            </w:r>
          </w:p>
        </w:tc>
        <w:tc>
          <w:tcPr>
            <w:tcW w:w="4948" w:type="dxa"/>
            <w:vMerge w:val="restart"/>
            <w:tcBorders>
              <w:top w:val="nil"/>
              <w:left w:val="single" w:sz="4" w:space="0" w:color="auto"/>
              <w:bottom w:val="single" w:sz="4" w:space="0" w:color="auto"/>
              <w:right w:val="single" w:sz="4" w:space="0" w:color="auto"/>
            </w:tcBorders>
            <w:shd w:val="clear" w:color="000000" w:fill="E7E6E6"/>
            <w:vAlign w:val="center"/>
            <w:hideMark/>
          </w:tcPr>
          <w:p w14:paraId="48A772F3" w14:textId="77777777" w:rsidR="008017DA" w:rsidRPr="00171323" w:rsidRDefault="008017DA" w:rsidP="004D494A">
            <w:pPr>
              <w:rPr>
                <w:rFonts w:ascii="Arial" w:hAnsi="Arial" w:cs="Arial"/>
                <w:b/>
                <w:i/>
                <w:color w:val="000000"/>
                <w:sz w:val="16"/>
                <w:szCs w:val="16"/>
              </w:rPr>
            </w:pPr>
            <w:proofErr w:type="gramStart"/>
            <w:r w:rsidRPr="00171323">
              <w:rPr>
                <w:rFonts w:ascii="Arial" w:hAnsi="Arial"/>
                <w:b/>
                <w:i/>
                <w:color w:val="000000"/>
                <w:sz w:val="16"/>
              </w:rPr>
              <w:t>RE 2</w:t>
            </w:r>
            <w:proofErr w:type="gramEnd"/>
            <w:r w:rsidRPr="00171323">
              <w:rPr>
                <w:rFonts w:ascii="Arial" w:hAnsi="Arial"/>
                <w:b/>
                <w:i/>
                <w:color w:val="000000"/>
                <w:sz w:val="16"/>
              </w:rPr>
              <w:t>: Una gobernanza sólida de la Convención apoyada por un seguimiento, unos servicios de gestión de conocimientos y una sensibilización reforzados asociados a los mecanismos de cooperación internacional</w:t>
            </w:r>
          </w:p>
        </w:tc>
        <w:tc>
          <w:tcPr>
            <w:tcW w:w="1401" w:type="dxa"/>
            <w:vMerge w:val="restart"/>
            <w:tcBorders>
              <w:top w:val="nil"/>
              <w:left w:val="single" w:sz="4" w:space="0" w:color="auto"/>
              <w:bottom w:val="single" w:sz="4" w:space="0" w:color="auto"/>
              <w:right w:val="single" w:sz="8" w:space="0" w:color="auto"/>
            </w:tcBorders>
            <w:shd w:val="clear" w:color="000000" w:fill="E7E6E6"/>
            <w:vAlign w:val="center"/>
            <w:hideMark/>
          </w:tcPr>
          <w:p w14:paraId="5AF1B6E2" w14:textId="77777777" w:rsidR="008017DA" w:rsidRPr="00171323" w:rsidRDefault="008017DA" w:rsidP="004D494A">
            <w:pPr>
              <w:jc w:val="center"/>
              <w:rPr>
                <w:rFonts w:ascii="Arial" w:hAnsi="Arial" w:cs="Arial"/>
                <w:i/>
                <w:iCs/>
                <w:color w:val="000000"/>
                <w:sz w:val="16"/>
                <w:szCs w:val="16"/>
              </w:rPr>
            </w:pPr>
            <w:r w:rsidRPr="00171323">
              <w:rPr>
                <w:rFonts w:ascii="Arial" w:hAnsi="Arial"/>
                <w:i/>
                <w:color w:val="000000"/>
                <w:sz w:val="16"/>
              </w:rPr>
              <w:t>9,6 %</w:t>
            </w:r>
          </w:p>
        </w:tc>
        <w:tc>
          <w:tcPr>
            <w:tcW w:w="1434" w:type="dxa"/>
            <w:vMerge w:val="restart"/>
            <w:tcBorders>
              <w:top w:val="nil"/>
              <w:left w:val="nil"/>
              <w:bottom w:val="dashed" w:sz="4" w:space="0" w:color="auto"/>
              <w:right w:val="dashed" w:sz="4" w:space="0" w:color="auto"/>
            </w:tcBorders>
            <w:shd w:val="clear" w:color="000000" w:fill="E7E6E6"/>
            <w:vAlign w:val="center"/>
            <w:hideMark/>
          </w:tcPr>
          <w:p w14:paraId="0601D771"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786.199 $</w:t>
            </w:r>
          </w:p>
        </w:tc>
        <w:tc>
          <w:tcPr>
            <w:tcW w:w="1275" w:type="dxa"/>
            <w:vMerge w:val="restart"/>
            <w:tcBorders>
              <w:top w:val="nil"/>
              <w:left w:val="dashed" w:sz="4" w:space="0" w:color="auto"/>
              <w:bottom w:val="dashed" w:sz="4" w:space="0" w:color="auto"/>
              <w:right w:val="dashed" w:sz="4" w:space="0" w:color="auto"/>
            </w:tcBorders>
            <w:shd w:val="clear" w:color="000000" w:fill="E7E6E6"/>
            <w:vAlign w:val="center"/>
            <w:hideMark/>
          </w:tcPr>
          <w:p w14:paraId="0FB2CDA4"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196.550 $</w:t>
            </w:r>
          </w:p>
        </w:tc>
      </w:tr>
      <w:tr w:rsidR="00402F34" w:rsidRPr="00171323" w14:paraId="38C09CF3"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46F3F55D"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1818C2D6" w14:textId="77777777" w:rsidR="008017DA" w:rsidRPr="00171323" w:rsidRDefault="008017DA" w:rsidP="004D494A">
            <w:pPr>
              <w:rPr>
                <w:rFonts w:ascii="Arial" w:hAnsi="Arial" w:cs="Arial"/>
                <w:b/>
                <w:bCs/>
                <w:i/>
                <w:iCs/>
                <w:color w:val="000000"/>
                <w:sz w:val="16"/>
                <w:szCs w:val="16"/>
              </w:rPr>
            </w:pPr>
          </w:p>
        </w:tc>
        <w:tc>
          <w:tcPr>
            <w:tcW w:w="1401" w:type="dxa"/>
            <w:vMerge/>
            <w:tcBorders>
              <w:top w:val="nil"/>
              <w:left w:val="single" w:sz="4" w:space="0" w:color="auto"/>
              <w:bottom w:val="single" w:sz="4" w:space="0" w:color="auto"/>
              <w:right w:val="single" w:sz="8" w:space="0" w:color="auto"/>
            </w:tcBorders>
            <w:vAlign w:val="center"/>
            <w:hideMark/>
          </w:tcPr>
          <w:p w14:paraId="08F73B40" w14:textId="77777777" w:rsidR="008017DA" w:rsidRPr="00171323" w:rsidRDefault="008017DA" w:rsidP="004D494A">
            <w:pPr>
              <w:jc w:val="center"/>
              <w:rPr>
                <w:rFonts w:ascii="Arial" w:hAnsi="Arial" w:cs="Arial"/>
                <w:i/>
                <w:iCs/>
                <w:color w:val="000000"/>
                <w:sz w:val="16"/>
                <w:szCs w:val="16"/>
              </w:rPr>
            </w:pPr>
          </w:p>
        </w:tc>
        <w:tc>
          <w:tcPr>
            <w:tcW w:w="1434" w:type="dxa"/>
            <w:vMerge/>
            <w:tcBorders>
              <w:top w:val="nil"/>
              <w:left w:val="nil"/>
              <w:bottom w:val="dashed" w:sz="4" w:space="0" w:color="auto"/>
              <w:right w:val="dashed" w:sz="4" w:space="0" w:color="auto"/>
            </w:tcBorders>
            <w:vAlign w:val="center"/>
            <w:hideMark/>
          </w:tcPr>
          <w:p w14:paraId="0FA8BFE0"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57D59BA3" w14:textId="77777777" w:rsidR="008017DA" w:rsidRPr="00171323" w:rsidRDefault="008017DA" w:rsidP="004D494A">
            <w:pPr>
              <w:rPr>
                <w:rFonts w:ascii="Arial" w:hAnsi="Arial" w:cs="Arial"/>
                <w:i/>
                <w:iCs/>
                <w:color w:val="000000"/>
                <w:sz w:val="18"/>
                <w:szCs w:val="18"/>
              </w:rPr>
            </w:pPr>
          </w:p>
        </w:tc>
      </w:tr>
      <w:tr w:rsidR="00402F34" w:rsidRPr="00171323" w14:paraId="094AFDC6"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5051DCDC"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6F92C1CE" w14:textId="77777777" w:rsidR="008017DA" w:rsidRPr="00171323" w:rsidRDefault="008017DA" w:rsidP="004D494A">
            <w:pPr>
              <w:rPr>
                <w:rFonts w:ascii="Arial" w:hAnsi="Arial" w:cs="Arial"/>
                <w:b/>
                <w:bCs/>
                <w:i/>
                <w:iCs/>
                <w:color w:val="000000"/>
                <w:sz w:val="16"/>
                <w:szCs w:val="16"/>
              </w:rPr>
            </w:pPr>
          </w:p>
        </w:tc>
        <w:tc>
          <w:tcPr>
            <w:tcW w:w="1401" w:type="dxa"/>
            <w:vMerge w:val="restart"/>
            <w:tcBorders>
              <w:top w:val="nil"/>
              <w:left w:val="single" w:sz="4" w:space="0" w:color="auto"/>
              <w:bottom w:val="single" w:sz="4" w:space="0" w:color="auto"/>
              <w:right w:val="single" w:sz="8" w:space="0" w:color="auto"/>
            </w:tcBorders>
            <w:shd w:val="clear" w:color="000000" w:fill="E7E6E6"/>
            <w:vAlign w:val="center"/>
            <w:hideMark/>
          </w:tcPr>
          <w:p w14:paraId="6C21EC87" w14:textId="77777777" w:rsidR="008017DA" w:rsidRPr="00171323" w:rsidRDefault="008017DA" w:rsidP="004D494A">
            <w:pPr>
              <w:jc w:val="center"/>
              <w:rPr>
                <w:rFonts w:ascii="Arial" w:hAnsi="Arial" w:cs="Arial"/>
                <w:i/>
                <w:iCs/>
                <w:color w:val="000000"/>
                <w:sz w:val="16"/>
                <w:szCs w:val="16"/>
              </w:rPr>
            </w:pPr>
            <w:r w:rsidRPr="00171323">
              <w:rPr>
                <w:rFonts w:ascii="Arial" w:hAnsi="Arial"/>
                <w:i/>
                <w:color w:val="000000"/>
                <w:sz w:val="16"/>
              </w:rPr>
              <w:t>(48 % de la partida 3)</w:t>
            </w:r>
          </w:p>
        </w:tc>
        <w:tc>
          <w:tcPr>
            <w:tcW w:w="1434" w:type="dxa"/>
            <w:vMerge/>
            <w:tcBorders>
              <w:top w:val="nil"/>
              <w:left w:val="nil"/>
              <w:bottom w:val="dashed" w:sz="4" w:space="0" w:color="auto"/>
              <w:right w:val="dashed" w:sz="4" w:space="0" w:color="auto"/>
            </w:tcBorders>
            <w:vAlign w:val="center"/>
            <w:hideMark/>
          </w:tcPr>
          <w:p w14:paraId="6C7BD813"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661D336E" w14:textId="77777777" w:rsidR="008017DA" w:rsidRPr="00171323" w:rsidRDefault="008017DA" w:rsidP="004D494A">
            <w:pPr>
              <w:rPr>
                <w:rFonts w:ascii="Arial" w:hAnsi="Arial" w:cs="Arial"/>
                <w:i/>
                <w:iCs/>
                <w:color w:val="000000"/>
                <w:sz w:val="18"/>
                <w:szCs w:val="18"/>
              </w:rPr>
            </w:pPr>
          </w:p>
        </w:tc>
      </w:tr>
      <w:tr w:rsidR="00402F34" w:rsidRPr="00171323" w14:paraId="05B46C61" w14:textId="77777777" w:rsidTr="00FA0D16">
        <w:trPr>
          <w:trHeight w:val="480"/>
        </w:trPr>
        <w:tc>
          <w:tcPr>
            <w:tcW w:w="571" w:type="dxa"/>
            <w:vMerge/>
            <w:tcBorders>
              <w:top w:val="nil"/>
              <w:left w:val="single" w:sz="8" w:space="0" w:color="auto"/>
              <w:bottom w:val="single" w:sz="4" w:space="0" w:color="auto"/>
              <w:right w:val="single" w:sz="4" w:space="0" w:color="auto"/>
            </w:tcBorders>
            <w:vAlign w:val="center"/>
            <w:hideMark/>
          </w:tcPr>
          <w:p w14:paraId="1CF63D3E" w14:textId="77777777" w:rsidR="008017DA" w:rsidRPr="00171323" w:rsidRDefault="008017DA" w:rsidP="004D494A">
            <w:pPr>
              <w:rPr>
                <w:rFonts w:ascii="Arial" w:hAnsi="Arial" w:cs="Arial"/>
                <w:i/>
                <w:iCs/>
                <w:color w:val="000000"/>
                <w:sz w:val="18"/>
                <w:szCs w:val="18"/>
              </w:rPr>
            </w:pPr>
          </w:p>
        </w:tc>
        <w:tc>
          <w:tcPr>
            <w:tcW w:w="4948" w:type="dxa"/>
            <w:vMerge/>
            <w:tcBorders>
              <w:top w:val="nil"/>
              <w:left w:val="single" w:sz="4" w:space="0" w:color="auto"/>
              <w:bottom w:val="single" w:sz="4" w:space="0" w:color="auto"/>
              <w:right w:val="single" w:sz="4" w:space="0" w:color="auto"/>
            </w:tcBorders>
            <w:vAlign w:val="center"/>
            <w:hideMark/>
          </w:tcPr>
          <w:p w14:paraId="2D9842B9" w14:textId="77777777" w:rsidR="008017DA" w:rsidRPr="00171323" w:rsidRDefault="008017DA" w:rsidP="004D494A">
            <w:pPr>
              <w:rPr>
                <w:rFonts w:ascii="Arial" w:hAnsi="Arial" w:cs="Arial"/>
                <w:b/>
                <w:bCs/>
                <w:i/>
                <w:iCs/>
                <w:color w:val="000000"/>
                <w:sz w:val="16"/>
                <w:szCs w:val="16"/>
              </w:rPr>
            </w:pPr>
          </w:p>
        </w:tc>
        <w:tc>
          <w:tcPr>
            <w:tcW w:w="1401" w:type="dxa"/>
            <w:vMerge/>
            <w:tcBorders>
              <w:top w:val="nil"/>
              <w:left w:val="single" w:sz="4" w:space="0" w:color="auto"/>
              <w:bottom w:val="single" w:sz="4" w:space="0" w:color="auto"/>
              <w:right w:val="single" w:sz="8" w:space="0" w:color="auto"/>
            </w:tcBorders>
            <w:vAlign w:val="center"/>
            <w:hideMark/>
          </w:tcPr>
          <w:p w14:paraId="45448CD2" w14:textId="77777777" w:rsidR="008017DA" w:rsidRPr="00171323" w:rsidRDefault="008017DA" w:rsidP="004D494A">
            <w:pPr>
              <w:rPr>
                <w:rFonts w:ascii="Arial" w:hAnsi="Arial" w:cs="Arial"/>
                <w:i/>
                <w:iCs/>
                <w:color w:val="000000"/>
                <w:sz w:val="16"/>
                <w:szCs w:val="16"/>
              </w:rPr>
            </w:pPr>
          </w:p>
        </w:tc>
        <w:tc>
          <w:tcPr>
            <w:tcW w:w="1434" w:type="dxa"/>
            <w:vMerge/>
            <w:tcBorders>
              <w:top w:val="nil"/>
              <w:left w:val="nil"/>
              <w:bottom w:val="dashed" w:sz="4" w:space="0" w:color="auto"/>
              <w:right w:val="dashed" w:sz="4" w:space="0" w:color="auto"/>
            </w:tcBorders>
            <w:vAlign w:val="center"/>
            <w:hideMark/>
          </w:tcPr>
          <w:p w14:paraId="71DB376B" w14:textId="77777777" w:rsidR="008017DA" w:rsidRPr="00171323" w:rsidRDefault="008017DA" w:rsidP="004D494A">
            <w:pPr>
              <w:rPr>
                <w:rFonts w:ascii="Arial" w:hAnsi="Arial" w:cs="Arial"/>
                <w:i/>
                <w:iCs/>
                <w:color w:val="000000"/>
                <w:sz w:val="18"/>
                <w:szCs w:val="18"/>
              </w:rPr>
            </w:pPr>
          </w:p>
        </w:tc>
        <w:tc>
          <w:tcPr>
            <w:tcW w:w="1275" w:type="dxa"/>
            <w:vMerge/>
            <w:tcBorders>
              <w:top w:val="nil"/>
              <w:left w:val="dashed" w:sz="4" w:space="0" w:color="auto"/>
              <w:bottom w:val="dashed" w:sz="4" w:space="0" w:color="auto"/>
              <w:right w:val="dashed" w:sz="4" w:space="0" w:color="auto"/>
            </w:tcBorders>
            <w:vAlign w:val="center"/>
            <w:hideMark/>
          </w:tcPr>
          <w:p w14:paraId="01E9E9A1" w14:textId="77777777" w:rsidR="008017DA" w:rsidRPr="00171323" w:rsidRDefault="008017DA" w:rsidP="004D494A">
            <w:pPr>
              <w:rPr>
                <w:rFonts w:ascii="Arial" w:hAnsi="Arial" w:cs="Arial"/>
                <w:i/>
                <w:iCs/>
                <w:color w:val="000000"/>
                <w:sz w:val="18"/>
                <w:szCs w:val="18"/>
              </w:rPr>
            </w:pPr>
          </w:p>
        </w:tc>
      </w:tr>
      <w:tr w:rsidR="00402F34" w:rsidRPr="00171323" w14:paraId="620A0929" w14:textId="77777777" w:rsidTr="00FA0D16">
        <w:trPr>
          <w:trHeight w:val="1263"/>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75AE8321"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4.</w:t>
            </w:r>
          </w:p>
        </w:tc>
        <w:tc>
          <w:tcPr>
            <w:tcW w:w="4948" w:type="dxa"/>
            <w:tcBorders>
              <w:top w:val="nil"/>
              <w:left w:val="nil"/>
              <w:bottom w:val="single" w:sz="4" w:space="0" w:color="auto"/>
              <w:right w:val="single" w:sz="4" w:space="0" w:color="auto"/>
            </w:tcBorders>
            <w:shd w:val="clear" w:color="auto" w:fill="auto"/>
            <w:vAlign w:val="center"/>
            <w:hideMark/>
          </w:tcPr>
          <w:p w14:paraId="42E97B2B"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La participación en las reuniones del Comité, su Mesa y sus órganos subsidiarios de expertos en patrimonio cultural inmaterial que representen a Estados en desarrollo que son miembros del Comité;</w:t>
            </w:r>
          </w:p>
        </w:tc>
        <w:tc>
          <w:tcPr>
            <w:tcW w:w="1401" w:type="dxa"/>
            <w:tcBorders>
              <w:top w:val="nil"/>
              <w:left w:val="nil"/>
              <w:bottom w:val="single" w:sz="4" w:space="0" w:color="auto"/>
              <w:right w:val="single" w:sz="8" w:space="0" w:color="auto"/>
            </w:tcBorders>
            <w:shd w:val="clear" w:color="auto" w:fill="auto"/>
            <w:vAlign w:val="center"/>
            <w:hideMark/>
          </w:tcPr>
          <w:p w14:paraId="12270ACC"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2,50 %</w:t>
            </w:r>
          </w:p>
        </w:tc>
        <w:tc>
          <w:tcPr>
            <w:tcW w:w="1434" w:type="dxa"/>
            <w:tcBorders>
              <w:top w:val="nil"/>
              <w:left w:val="nil"/>
              <w:bottom w:val="dashed" w:sz="4" w:space="0" w:color="auto"/>
              <w:right w:val="dashed" w:sz="4" w:space="0" w:color="auto"/>
            </w:tcBorders>
            <w:shd w:val="clear" w:color="auto" w:fill="auto"/>
            <w:vAlign w:val="center"/>
            <w:hideMark/>
          </w:tcPr>
          <w:p w14:paraId="7ED5F658"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204.739 $</w:t>
            </w:r>
          </w:p>
        </w:tc>
        <w:tc>
          <w:tcPr>
            <w:tcW w:w="1275" w:type="dxa"/>
            <w:tcBorders>
              <w:top w:val="nil"/>
              <w:left w:val="nil"/>
              <w:bottom w:val="dashed" w:sz="4" w:space="0" w:color="auto"/>
              <w:right w:val="dashed" w:sz="4" w:space="0" w:color="auto"/>
            </w:tcBorders>
            <w:shd w:val="clear" w:color="auto" w:fill="auto"/>
            <w:vAlign w:val="center"/>
            <w:hideMark/>
          </w:tcPr>
          <w:p w14:paraId="71587DAF"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51.185 $</w:t>
            </w:r>
          </w:p>
        </w:tc>
      </w:tr>
      <w:tr w:rsidR="00402F34" w:rsidRPr="00171323" w14:paraId="2776475A" w14:textId="77777777" w:rsidTr="00FA0D16">
        <w:trPr>
          <w:trHeight w:val="1248"/>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5FA6896B"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5.</w:t>
            </w:r>
          </w:p>
        </w:tc>
        <w:tc>
          <w:tcPr>
            <w:tcW w:w="4948" w:type="dxa"/>
            <w:tcBorders>
              <w:top w:val="nil"/>
              <w:left w:val="nil"/>
              <w:bottom w:val="single" w:sz="4" w:space="0" w:color="auto"/>
              <w:right w:val="single" w:sz="4" w:space="0" w:color="auto"/>
            </w:tcBorders>
            <w:shd w:val="clear" w:color="auto" w:fill="auto"/>
            <w:vAlign w:val="center"/>
            <w:hideMark/>
          </w:tcPr>
          <w:p w14:paraId="12F2BFB1"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La participación en las reuniones del Comité y sus órganos consultivos de expertos en patrimonio cultural inmaterial que representen a Estados en desarrollo que sean Partes en la Convención, pero no miembros del Comité;</w:t>
            </w:r>
          </w:p>
        </w:tc>
        <w:tc>
          <w:tcPr>
            <w:tcW w:w="1401" w:type="dxa"/>
            <w:tcBorders>
              <w:top w:val="nil"/>
              <w:left w:val="nil"/>
              <w:bottom w:val="single" w:sz="4" w:space="0" w:color="auto"/>
              <w:right w:val="single" w:sz="8" w:space="0" w:color="auto"/>
            </w:tcBorders>
            <w:shd w:val="clear" w:color="auto" w:fill="auto"/>
            <w:vAlign w:val="center"/>
            <w:hideMark/>
          </w:tcPr>
          <w:p w14:paraId="05B09969"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2,70 %</w:t>
            </w:r>
          </w:p>
        </w:tc>
        <w:tc>
          <w:tcPr>
            <w:tcW w:w="1434" w:type="dxa"/>
            <w:tcBorders>
              <w:top w:val="nil"/>
              <w:left w:val="nil"/>
              <w:bottom w:val="dashed" w:sz="4" w:space="0" w:color="auto"/>
              <w:right w:val="dashed" w:sz="4" w:space="0" w:color="auto"/>
            </w:tcBorders>
            <w:shd w:val="clear" w:color="auto" w:fill="auto"/>
            <w:vAlign w:val="center"/>
            <w:hideMark/>
          </w:tcPr>
          <w:p w14:paraId="62F9F5C8"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221.119 $</w:t>
            </w:r>
          </w:p>
        </w:tc>
        <w:tc>
          <w:tcPr>
            <w:tcW w:w="1275" w:type="dxa"/>
            <w:tcBorders>
              <w:top w:val="nil"/>
              <w:left w:val="nil"/>
              <w:bottom w:val="dashed" w:sz="4" w:space="0" w:color="auto"/>
              <w:right w:val="dashed" w:sz="4" w:space="0" w:color="auto"/>
            </w:tcBorders>
            <w:shd w:val="clear" w:color="auto" w:fill="auto"/>
            <w:vAlign w:val="center"/>
            <w:hideMark/>
          </w:tcPr>
          <w:p w14:paraId="2A56F30B"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55.280 $</w:t>
            </w:r>
          </w:p>
        </w:tc>
      </w:tr>
      <w:tr w:rsidR="00402F34" w:rsidRPr="00171323" w14:paraId="6E2352D2" w14:textId="77777777" w:rsidTr="00FA0D16">
        <w:trPr>
          <w:trHeight w:val="1925"/>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4EB2828F"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6.</w:t>
            </w:r>
          </w:p>
        </w:tc>
        <w:tc>
          <w:tcPr>
            <w:tcW w:w="4948" w:type="dxa"/>
            <w:tcBorders>
              <w:top w:val="nil"/>
              <w:left w:val="nil"/>
              <w:bottom w:val="single" w:sz="4" w:space="0" w:color="auto"/>
              <w:right w:val="single" w:sz="4" w:space="0" w:color="auto"/>
            </w:tcBorders>
            <w:shd w:val="clear" w:color="auto" w:fill="auto"/>
            <w:vAlign w:val="center"/>
            <w:hideMark/>
          </w:tcPr>
          <w:p w14:paraId="31477A72"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representen a ONG acreditadas de países en desarrollo;</w:t>
            </w:r>
          </w:p>
        </w:tc>
        <w:tc>
          <w:tcPr>
            <w:tcW w:w="1401" w:type="dxa"/>
            <w:tcBorders>
              <w:top w:val="nil"/>
              <w:left w:val="nil"/>
              <w:bottom w:val="single" w:sz="4" w:space="0" w:color="auto"/>
              <w:right w:val="single" w:sz="8" w:space="0" w:color="auto"/>
            </w:tcBorders>
            <w:shd w:val="clear" w:color="auto" w:fill="auto"/>
            <w:vAlign w:val="center"/>
            <w:hideMark/>
          </w:tcPr>
          <w:p w14:paraId="1E3140BB"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2,70 %</w:t>
            </w:r>
          </w:p>
        </w:tc>
        <w:tc>
          <w:tcPr>
            <w:tcW w:w="1434" w:type="dxa"/>
            <w:tcBorders>
              <w:top w:val="nil"/>
              <w:left w:val="nil"/>
              <w:bottom w:val="dashed" w:sz="4" w:space="0" w:color="auto"/>
              <w:right w:val="dashed" w:sz="4" w:space="0" w:color="auto"/>
            </w:tcBorders>
            <w:shd w:val="clear" w:color="auto" w:fill="auto"/>
            <w:vAlign w:val="center"/>
            <w:hideMark/>
          </w:tcPr>
          <w:p w14:paraId="628D0D30"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221.119 $</w:t>
            </w:r>
          </w:p>
        </w:tc>
        <w:tc>
          <w:tcPr>
            <w:tcW w:w="1275" w:type="dxa"/>
            <w:tcBorders>
              <w:top w:val="nil"/>
              <w:left w:val="nil"/>
              <w:bottom w:val="dashed" w:sz="4" w:space="0" w:color="auto"/>
              <w:right w:val="dashed" w:sz="4" w:space="0" w:color="auto"/>
            </w:tcBorders>
            <w:shd w:val="clear" w:color="auto" w:fill="auto"/>
            <w:vAlign w:val="center"/>
            <w:hideMark/>
          </w:tcPr>
          <w:p w14:paraId="583FE0AC"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55.280 $</w:t>
            </w:r>
          </w:p>
        </w:tc>
      </w:tr>
      <w:tr w:rsidR="00402F34" w:rsidRPr="00171323" w14:paraId="0E6F4C20" w14:textId="77777777" w:rsidTr="00FA0D16">
        <w:trPr>
          <w:trHeight w:val="767"/>
        </w:trPr>
        <w:tc>
          <w:tcPr>
            <w:tcW w:w="571" w:type="dxa"/>
            <w:tcBorders>
              <w:top w:val="nil"/>
              <w:left w:val="single" w:sz="8" w:space="0" w:color="auto"/>
              <w:bottom w:val="single" w:sz="4" w:space="0" w:color="auto"/>
              <w:right w:val="single" w:sz="4" w:space="0" w:color="auto"/>
            </w:tcBorders>
            <w:shd w:val="clear" w:color="auto" w:fill="auto"/>
            <w:noWrap/>
            <w:vAlign w:val="center"/>
            <w:hideMark/>
          </w:tcPr>
          <w:p w14:paraId="4A05D82E" w14:textId="77777777" w:rsidR="008017DA" w:rsidRPr="00171323" w:rsidRDefault="008017DA" w:rsidP="004D494A">
            <w:pPr>
              <w:ind w:firstLineChars="100" w:firstLine="180"/>
              <w:rPr>
                <w:rFonts w:ascii="Arial" w:hAnsi="Arial" w:cs="Arial"/>
                <w:color w:val="000000"/>
                <w:sz w:val="18"/>
                <w:szCs w:val="18"/>
              </w:rPr>
            </w:pPr>
            <w:r w:rsidRPr="00171323">
              <w:rPr>
                <w:rFonts w:ascii="Arial" w:hAnsi="Arial"/>
                <w:color w:val="000000"/>
                <w:sz w:val="18"/>
              </w:rPr>
              <w:t>7.</w:t>
            </w:r>
          </w:p>
        </w:tc>
        <w:tc>
          <w:tcPr>
            <w:tcW w:w="4948" w:type="dxa"/>
            <w:tcBorders>
              <w:top w:val="nil"/>
              <w:left w:val="nil"/>
              <w:bottom w:val="single" w:sz="4" w:space="0" w:color="auto"/>
              <w:right w:val="single" w:sz="4" w:space="0" w:color="auto"/>
            </w:tcBorders>
            <w:shd w:val="clear" w:color="auto" w:fill="auto"/>
            <w:vAlign w:val="center"/>
            <w:hideMark/>
          </w:tcPr>
          <w:p w14:paraId="5D4345D5" w14:textId="77777777" w:rsidR="008017DA" w:rsidRPr="00171323" w:rsidRDefault="008017DA" w:rsidP="004D494A">
            <w:pPr>
              <w:rPr>
                <w:rFonts w:ascii="Arial" w:hAnsi="Arial" w:cs="Arial"/>
                <w:color w:val="000000"/>
                <w:sz w:val="18"/>
                <w:szCs w:val="18"/>
              </w:rPr>
            </w:pPr>
            <w:r w:rsidRPr="00171323">
              <w:rPr>
                <w:rFonts w:ascii="Arial" w:hAnsi="Arial"/>
                <w:color w:val="000000"/>
                <w:sz w:val="18"/>
              </w:rPr>
              <w:t>Los costos de los servicios de asesoramiento prestados a pedido del Comité</w:t>
            </w:r>
          </w:p>
        </w:tc>
        <w:tc>
          <w:tcPr>
            <w:tcW w:w="1401" w:type="dxa"/>
            <w:tcBorders>
              <w:top w:val="nil"/>
              <w:left w:val="nil"/>
              <w:bottom w:val="single" w:sz="4" w:space="0" w:color="auto"/>
              <w:right w:val="single" w:sz="8" w:space="0" w:color="auto"/>
            </w:tcBorders>
            <w:shd w:val="clear" w:color="auto" w:fill="auto"/>
            <w:vAlign w:val="center"/>
            <w:hideMark/>
          </w:tcPr>
          <w:p w14:paraId="78DAF682" w14:textId="77777777" w:rsidR="008017DA" w:rsidRPr="00171323" w:rsidRDefault="008017DA" w:rsidP="004D494A">
            <w:pPr>
              <w:jc w:val="center"/>
              <w:rPr>
                <w:rFonts w:ascii="Arial" w:hAnsi="Arial" w:cs="Arial"/>
                <w:color w:val="000000"/>
                <w:sz w:val="18"/>
                <w:szCs w:val="18"/>
              </w:rPr>
            </w:pPr>
            <w:r w:rsidRPr="00171323">
              <w:rPr>
                <w:rFonts w:ascii="Arial" w:hAnsi="Arial"/>
                <w:color w:val="000000"/>
                <w:sz w:val="18"/>
              </w:rPr>
              <w:t>7,00 %</w:t>
            </w:r>
          </w:p>
        </w:tc>
        <w:tc>
          <w:tcPr>
            <w:tcW w:w="1434" w:type="dxa"/>
            <w:tcBorders>
              <w:top w:val="nil"/>
              <w:left w:val="nil"/>
              <w:bottom w:val="dashed" w:sz="4" w:space="0" w:color="auto"/>
              <w:right w:val="dashed" w:sz="4" w:space="0" w:color="auto"/>
            </w:tcBorders>
            <w:shd w:val="clear" w:color="auto" w:fill="auto"/>
            <w:vAlign w:val="center"/>
            <w:hideMark/>
          </w:tcPr>
          <w:p w14:paraId="032FDC48"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573.270 $</w:t>
            </w:r>
          </w:p>
        </w:tc>
        <w:tc>
          <w:tcPr>
            <w:tcW w:w="1275" w:type="dxa"/>
            <w:tcBorders>
              <w:top w:val="nil"/>
              <w:left w:val="nil"/>
              <w:bottom w:val="dashed" w:sz="4" w:space="0" w:color="auto"/>
              <w:right w:val="dashed" w:sz="4" w:space="0" w:color="auto"/>
            </w:tcBorders>
            <w:shd w:val="clear" w:color="auto" w:fill="auto"/>
            <w:vAlign w:val="center"/>
            <w:hideMark/>
          </w:tcPr>
          <w:p w14:paraId="5E225DCB" w14:textId="77777777" w:rsidR="008017DA" w:rsidRPr="00171323" w:rsidRDefault="008017DA" w:rsidP="004D494A">
            <w:pPr>
              <w:jc w:val="center"/>
              <w:rPr>
                <w:rFonts w:ascii="Arial" w:hAnsi="Arial" w:cs="Arial"/>
                <w:i/>
                <w:iCs/>
                <w:color w:val="000000"/>
                <w:sz w:val="18"/>
                <w:szCs w:val="18"/>
              </w:rPr>
            </w:pPr>
            <w:r w:rsidRPr="00171323">
              <w:rPr>
                <w:rFonts w:ascii="Arial" w:hAnsi="Arial"/>
                <w:i/>
                <w:color w:val="000000"/>
                <w:sz w:val="18"/>
              </w:rPr>
              <w:t>143.318 $</w:t>
            </w:r>
          </w:p>
        </w:tc>
      </w:tr>
      <w:tr w:rsidR="008017DA" w:rsidRPr="00171323" w14:paraId="73515845" w14:textId="77777777" w:rsidTr="00FA0D16">
        <w:trPr>
          <w:trHeight w:val="300"/>
        </w:trPr>
        <w:tc>
          <w:tcPr>
            <w:tcW w:w="571" w:type="dxa"/>
            <w:tcBorders>
              <w:top w:val="nil"/>
              <w:left w:val="single" w:sz="8" w:space="0" w:color="auto"/>
              <w:bottom w:val="nil"/>
              <w:right w:val="single" w:sz="4" w:space="0" w:color="auto"/>
            </w:tcBorders>
            <w:shd w:val="clear" w:color="auto" w:fill="auto"/>
            <w:noWrap/>
            <w:vAlign w:val="center"/>
            <w:hideMark/>
          </w:tcPr>
          <w:p w14:paraId="113ED35A" w14:textId="77777777" w:rsidR="008017DA" w:rsidRPr="00171323" w:rsidRDefault="008017DA" w:rsidP="004D494A">
            <w:pPr>
              <w:ind w:firstLineChars="100" w:firstLine="201"/>
              <w:rPr>
                <w:rFonts w:ascii="Arial" w:hAnsi="Arial" w:cs="Arial"/>
                <w:b/>
                <w:bCs/>
                <w:color w:val="000000"/>
                <w:sz w:val="20"/>
                <w:szCs w:val="20"/>
              </w:rPr>
            </w:pPr>
            <w:r w:rsidRPr="00171323">
              <w:rPr>
                <w:rFonts w:ascii="Arial" w:hAnsi="Arial"/>
                <w:b/>
                <w:color w:val="000000"/>
                <w:sz w:val="20"/>
              </w:rPr>
              <w:t> </w:t>
            </w:r>
          </w:p>
        </w:tc>
        <w:tc>
          <w:tcPr>
            <w:tcW w:w="4948" w:type="dxa"/>
            <w:tcBorders>
              <w:top w:val="nil"/>
              <w:left w:val="nil"/>
              <w:bottom w:val="nil"/>
              <w:right w:val="single" w:sz="4" w:space="0" w:color="auto"/>
            </w:tcBorders>
            <w:shd w:val="clear" w:color="auto" w:fill="auto"/>
            <w:vAlign w:val="center"/>
            <w:hideMark/>
          </w:tcPr>
          <w:p w14:paraId="323ED406" w14:textId="77777777" w:rsidR="008017DA" w:rsidRPr="00171323" w:rsidRDefault="008017DA" w:rsidP="004D494A">
            <w:pPr>
              <w:jc w:val="both"/>
              <w:rPr>
                <w:rFonts w:ascii="Arial" w:hAnsi="Arial" w:cs="Arial"/>
                <w:b/>
                <w:bCs/>
                <w:color w:val="000000"/>
                <w:sz w:val="18"/>
                <w:szCs w:val="18"/>
              </w:rPr>
            </w:pPr>
            <w:r w:rsidRPr="00171323">
              <w:rPr>
                <w:rFonts w:ascii="Arial" w:hAnsi="Arial"/>
                <w:b/>
                <w:color w:val="000000"/>
                <w:sz w:val="18"/>
              </w:rPr>
              <w:t>TOTAL</w:t>
            </w:r>
          </w:p>
        </w:tc>
        <w:tc>
          <w:tcPr>
            <w:tcW w:w="1401" w:type="dxa"/>
            <w:tcBorders>
              <w:top w:val="nil"/>
              <w:left w:val="nil"/>
              <w:bottom w:val="nil"/>
              <w:right w:val="single" w:sz="8" w:space="0" w:color="auto"/>
            </w:tcBorders>
            <w:shd w:val="clear" w:color="auto" w:fill="auto"/>
            <w:vAlign w:val="center"/>
            <w:hideMark/>
          </w:tcPr>
          <w:p w14:paraId="2F58CA17" w14:textId="77777777" w:rsidR="008017DA" w:rsidRPr="00171323" w:rsidRDefault="008017DA" w:rsidP="004D494A">
            <w:pPr>
              <w:jc w:val="center"/>
              <w:rPr>
                <w:rFonts w:ascii="Arial" w:hAnsi="Arial" w:cs="Arial"/>
                <w:b/>
                <w:bCs/>
                <w:color w:val="000000"/>
                <w:sz w:val="18"/>
                <w:szCs w:val="18"/>
              </w:rPr>
            </w:pPr>
            <w:r w:rsidRPr="00171323">
              <w:rPr>
                <w:rFonts w:ascii="Arial" w:hAnsi="Arial"/>
                <w:b/>
                <w:color w:val="000000"/>
                <w:sz w:val="18"/>
              </w:rPr>
              <w:t>100,00 %</w:t>
            </w:r>
          </w:p>
        </w:tc>
        <w:tc>
          <w:tcPr>
            <w:tcW w:w="1434" w:type="dxa"/>
            <w:tcBorders>
              <w:top w:val="nil"/>
              <w:left w:val="nil"/>
              <w:bottom w:val="nil"/>
              <w:right w:val="dashed" w:sz="4" w:space="0" w:color="auto"/>
            </w:tcBorders>
            <w:shd w:val="clear" w:color="auto" w:fill="auto"/>
            <w:vAlign w:val="center"/>
            <w:hideMark/>
          </w:tcPr>
          <w:p w14:paraId="7C4D9B02" w14:textId="77777777" w:rsidR="008017DA" w:rsidRPr="00171323" w:rsidRDefault="008017DA" w:rsidP="004D494A">
            <w:pPr>
              <w:jc w:val="center"/>
              <w:rPr>
                <w:rFonts w:ascii="Arial" w:hAnsi="Arial" w:cs="Arial"/>
                <w:b/>
                <w:bCs/>
                <w:i/>
                <w:iCs/>
                <w:color w:val="000000"/>
                <w:sz w:val="18"/>
                <w:szCs w:val="18"/>
              </w:rPr>
            </w:pPr>
            <w:r w:rsidRPr="00171323">
              <w:rPr>
                <w:rFonts w:ascii="Arial" w:hAnsi="Arial"/>
                <w:b/>
                <w:i/>
                <w:color w:val="000000"/>
                <w:sz w:val="18"/>
              </w:rPr>
              <w:t>8.189.578 $</w:t>
            </w:r>
          </w:p>
        </w:tc>
        <w:tc>
          <w:tcPr>
            <w:tcW w:w="1275" w:type="dxa"/>
            <w:tcBorders>
              <w:top w:val="nil"/>
              <w:left w:val="nil"/>
              <w:bottom w:val="nil"/>
              <w:right w:val="dashed" w:sz="4" w:space="0" w:color="auto"/>
            </w:tcBorders>
            <w:shd w:val="clear" w:color="auto" w:fill="auto"/>
            <w:vAlign w:val="center"/>
            <w:hideMark/>
          </w:tcPr>
          <w:p w14:paraId="4840A6F1" w14:textId="77777777" w:rsidR="008017DA" w:rsidRPr="00171323" w:rsidRDefault="008017DA" w:rsidP="004D494A">
            <w:pPr>
              <w:jc w:val="center"/>
              <w:rPr>
                <w:rFonts w:ascii="Arial" w:hAnsi="Arial" w:cs="Arial"/>
                <w:b/>
                <w:bCs/>
                <w:i/>
                <w:iCs/>
                <w:color w:val="000000"/>
                <w:sz w:val="18"/>
                <w:szCs w:val="18"/>
              </w:rPr>
            </w:pPr>
            <w:r w:rsidRPr="00171323">
              <w:rPr>
                <w:rFonts w:ascii="Arial" w:hAnsi="Arial"/>
                <w:b/>
                <w:i/>
                <w:color w:val="000000"/>
                <w:sz w:val="18"/>
              </w:rPr>
              <w:t>2.047.394 $</w:t>
            </w:r>
          </w:p>
        </w:tc>
      </w:tr>
      <w:tr w:rsidR="00402F34" w:rsidRPr="00171323" w14:paraId="59E7A941" w14:textId="77777777" w:rsidTr="00FA0D16">
        <w:trPr>
          <w:trHeight w:val="300"/>
        </w:trPr>
        <w:tc>
          <w:tcPr>
            <w:tcW w:w="571" w:type="dxa"/>
            <w:tcBorders>
              <w:top w:val="nil"/>
              <w:left w:val="single" w:sz="8" w:space="0" w:color="auto"/>
              <w:bottom w:val="single" w:sz="4" w:space="0" w:color="auto"/>
              <w:right w:val="single" w:sz="4" w:space="0" w:color="auto"/>
            </w:tcBorders>
            <w:shd w:val="clear" w:color="auto" w:fill="auto"/>
            <w:noWrap/>
            <w:vAlign w:val="center"/>
          </w:tcPr>
          <w:p w14:paraId="12B43E6A" w14:textId="77777777" w:rsidR="008017DA" w:rsidRPr="00171323" w:rsidRDefault="008017DA" w:rsidP="004D494A">
            <w:pPr>
              <w:ind w:firstLineChars="100" w:firstLine="201"/>
              <w:rPr>
                <w:rFonts w:ascii="Arial" w:hAnsi="Arial"/>
                <w:b/>
                <w:color w:val="000000"/>
                <w:sz w:val="20"/>
              </w:rPr>
            </w:pPr>
          </w:p>
        </w:tc>
        <w:tc>
          <w:tcPr>
            <w:tcW w:w="4948" w:type="dxa"/>
            <w:tcBorders>
              <w:top w:val="nil"/>
              <w:left w:val="nil"/>
              <w:bottom w:val="single" w:sz="4" w:space="0" w:color="auto"/>
              <w:right w:val="single" w:sz="4" w:space="0" w:color="auto"/>
            </w:tcBorders>
            <w:shd w:val="clear" w:color="auto" w:fill="auto"/>
            <w:vAlign w:val="center"/>
          </w:tcPr>
          <w:p w14:paraId="27CB18FD" w14:textId="77777777" w:rsidR="008017DA" w:rsidRPr="00171323" w:rsidRDefault="008017DA" w:rsidP="004D494A">
            <w:pPr>
              <w:jc w:val="both"/>
              <w:rPr>
                <w:rFonts w:ascii="Arial" w:hAnsi="Arial"/>
                <w:b/>
                <w:color w:val="000000"/>
                <w:sz w:val="18"/>
              </w:rPr>
            </w:pPr>
          </w:p>
        </w:tc>
        <w:tc>
          <w:tcPr>
            <w:tcW w:w="1401" w:type="dxa"/>
            <w:tcBorders>
              <w:top w:val="nil"/>
              <w:left w:val="nil"/>
              <w:bottom w:val="single" w:sz="4" w:space="0" w:color="auto"/>
              <w:right w:val="single" w:sz="8" w:space="0" w:color="auto"/>
            </w:tcBorders>
            <w:shd w:val="clear" w:color="auto" w:fill="auto"/>
            <w:vAlign w:val="center"/>
          </w:tcPr>
          <w:p w14:paraId="358A6965" w14:textId="77777777" w:rsidR="008017DA" w:rsidRPr="00171323" w:rsidRDefault="008017DA" w:rsidP="004D494A">
            <w:pPr>
              <w:jc w:val="center"/>
              <w:rPr>
                <w:rFonts w:ascii="Arial" w:hAnsi="Arial"/>
                <w:b/>
                <w:color w:val="000000"/>
                <w:sz w:val="18"/>
              </w:rPr>
            </w:pPr>
          </w:p>
        </w:tc>
        <w:tc>
          <w:tcPr>
            <w:tcW w:w="1434" w:type="dxa"/>
            <w:tcBorders>
              <w:top w:val="nil"/>
              <w:left w:val="nil"/>
              <w:bottom w:val="dashed" w:sz="4" w:space="0" w:color="auto"/>
              <w:right w:val="dashed" w:sz="4" w:space="0" w:color="auto"/>
            </w:tcBorders>
            <w:shd w:val="clear" w:color="auto" w:fill="auto"/>
            <w:vAlign w:val="center"/>
          </w:tcPr>
          <w:p w14:paraId="19FA061C" w14:textId="77777777" w:rsidR="008017DA" w:rsidRPr="00171323" w:rsidRDefault="008017DA" w:rsidP="004D494A">
            <w:pPr>
              <w:jc w:val="center"/>
              <w:rPr>
                <w:rFonts w:ascii="Arial" w:hAnsi="Arial"/>
                <w:b/>
                <w:i/>
                <w:color w:val="000000"/>
                <w:sz w:val="18"/>
              </w:rPr>
            </w:pPr>
          </w:p>
        </w:tc>
        <w:tc>
          <w:tcPr>
            <w:tcW w:w="1275" w:type="dxa"/>
            <w:tcBorders>
              <w:top w:val="nil"/>
              <w:left w:val="nil"/>
              <w:bottom w:val="dashed" w:sz="4" w:space="0" w:color="auto"/>
              <w:right w:val="dashed" w:sz="4" w:space="0" w:color="auto"/>
            </w:tcBorders>
            <w:shd w:val="clear" w:color="auto" w:fill="auto"/>
            <w:vAlign w:val="center"/>
          </w:tcPr>
          <w:p w14:paraId="27C91F6A" w14:textId="77777777" w:rsidR="008017DA" w:rsidRPr="00171323" w:rsidRDefault="008017DA" w:rsidP="004D494A">
            <w:pPr>
              <w:jc w:val="center"/>
              <w:rPr>
                <w:rFonts w:ascii="Arial" w:hAnsi="Arial"/>
                <w:b/>
                <w:i/>
                <w:color w:val="000000"/>
                <w:sz w:val="18"/>
              </w:rPr>
            </w:pPr>
          </w:p>
        </w:tc>
      </w:tr>
      <w:tr w:rsidR="008017DA" w:rsidRPr="00171323" w14:paraId="34137DAD" w14:textId="77777777" w:rsidTr="00171323">
        <w:trPr>
          <w:trHeight w:val="803"/>
        </w:trPr>
        <w:tc>
          <w:tcPr>
            <w:tcW w:w="9629" w:type="dxa"/>
            <w:gridSpan w:val="5"/>
            <w:tcBorders>
              <w:top w:val="nil"/>
              <w:left w:val="single" w:sz="8" w:space="0" w:color="auto"/>
              <w:bottom w:val="single" w:sz="4" w:space="0" w:color="auto"/>
              <w:right w:val="dashed" w:sz="4" w:space="0" w:color="auto"/>
            </w:tcBorders>
            <w:shd w:val="clear" w:color="auto" w:fill="auto"/>
            <w:noWrap/>
            <w:vAlign w:val="center"/>
          </w:tcPr>
          <w:p w14:paraId="0E3F790C" w14:textId="77777777" w:rsidR="008017DA" w:rsidRPr="00171323" w:rsidRDefault="008017DA" w:rsidP="004D494A">
            <w:pPr>
              <w:rPr>
                <w:rFonts w:ascii="Arial" w:hAnsi="Arial"/>
                <w:bCs/>
                <w:iCs/>
                <w:color w:val="000000"/>
                <w:sz w:val="18"/>
              </w:rPr>
            </w:pPr>
            <w:r w:rsidRPr="00171323">
              <w:rPr>
                <w:rFonts w:ascii="Arial" w:hAnsi="Arial"/>
                <w:color w:val="000000"/>
                <w:sz w:val="18"/>
              </w:rPr>
              <w:t>[1] Los porcentajes se aplican al saldo del Fondo en fecha del 31 de diciembre de 2023. Este saldo no incluye el Fondo de Reserva (1 millón de dólares estadounidenses).</w:t>
            </w:r>
          </w:p>
        </w:tc>
      </w:tr>
      <w:tr w:rsidR="008017DA" w:rsidRPr="00171323" w14:paraId="447C15FF" w14:textId="77777777" w:rsidTr="00171323">
        <w:trPr>
          <w:trHeight w:val="985"/>
        </w:trPr>
        <w:tc>
          <w:tcPr>
            <w:tcW w:w="9629" w:type="dxa"/>
            <w:gridSpan w:val="5"/>
            <w:tcBorders>
              <w:top w:val="nil"/>
              <w:left w:val="single" w:sz="8" w:space="0" w:color="auto"/>
              <w:bottom w:val="single" w:sz="4" w:space="0" w:color="auto"/>
              <w:right w:val="dashed" w:sz="4" w:space="0" w:color="auto"/>
            </w:tcBorders>
            <w:shd w:val="clear" w:color="auto" w:fill="auto"/>
            <w:noWrap/>
            <w:vAlign w:val="center"/>
          </w:tcPr>
          <w:p w14:paraId="6AC93827" w14:textId="77777777" w:rsidR="008017DA" w:rsidRPr="00171323" w:rsidRDefault="008017DA" w:rsidP="004D494A">
            <w:pPr>
              <w:rPr>
                <w:rFonts w:ascii="Arial" w:hAnsi="Arial"/>
                <w:b/>
                <w:i/>
                <w:color w:val="000000"/>
                <w:sz w:val="18"/>
              </w:rPr>
            </w:pPr>
            <w:r w:rsidRPr="00171323">
              <w:rPr>
                <w:rFonts w:ascii="Arial" w:hAnsi="Arial"/>
                <w:color w:val="000000"/>
                <w:sz w:val="18"/>
              </w:rPr>
              <w:t>Los Fondos que no hayan sido atribuidos al final del periodo de este Plan se transfieren al siguiente ejercicio financiero y se asignarán según lo establecido por el Plan que apruebe la Asamblea General en ese momento.</w:t>
            </w:r>
          </w:p>
        </w:tc>
      </w:tr>
      <w:tr w:rsidR="008017DA" w:rsidRPr="00171323" w14:paraId="1C1EF0D3" w14:textId="77777777" w:rsidTr="00171323">
        <w:trPr>
          <w:trHeight w:val="1127"/>
        </w:trPr>
        <w:tc>
          <w:tcPr>
            <w:tcW w:w="9629" w:type="dxa"/>
            <w:gridSpan w:val="5"/>
            <w:tcBorders>
              <w:top w:val="nil"/>
              <w:left w:val="single" w:sz="8" w:space="0" w:color="auto"/>
              <w:bottom w:val="single" w:sz="4" w:space="0" w:color="auto"/>
              <w:right w:val="dashed" w:sz="4" w:space="0" w:color="auto"/>
            </w:tcBorders>
            <w:shd w:val="clear" w:color="auto" w:fill="auto"/>
            <w:noWrap/>
            <w:vAlign w:val="center"/>
          </w:tcPr>
          <w:p w14:paraId="6764ABC7" w14:textId="77777777" w:rsidR="008017DA" w:rsidRPr="00171323" w:rsidRDefault="008017DA" w:rsidP="004D494A">
            <w:pPr>
              <w:rPr>
                <w:rFonts w:ascii="Arial" w:hAnsi="Arial"/>
                <w:b/>
                <w:i/>
                <w:color w:val="000000"/>
                <w:sz w:val="18"/>
              </w:rPr>
            </w:pPr>
            <w:r w:rsidRPr="00171323">
              <w:rPr>
                <w:rFonts w:ascii="Arial" w:hAnsi="Arial"/>
                <w:color w:val="000000"/>
                <w:sz w:val="18"/>
              </w:rPr>
              <w:t xml:space="preserve">Para el periodo comprendido entre el 1 de enero y el 30 de junio de 2026, una cuarta parte de la cantidad establecida para los 24 meses del ejercicio financiero 2024-2025 será asignada con carácter provisional, excepto para el Fondo de Reserva, cuyo monto fue establecido por el Comité en un millón de dólares estadounidenses (Decisión </w:t>
            </w:r>
            <w:hyperlink r:id="rId33" w:history="1">
              <w:r w:rsidRPr="00171323">
                <w:rPr>
                  <w:rStyle w:val="Lienhypertexte"/>
                  <w:rFonts w:ascii="Arial" w:hAnsi="Arial"/>
                  <w:sz w:val="18"/>
                </w:rPr>
                <w:t>10.COM 8</w:t>
              </w:r>
            </w:hyperlink>
            <w:r w:rsidRPr="00171323">
              <w:rPr>
                <w:rFonts w:ascii="Arial" w:hAnsi="Arial"/>
                <w:color w:val="000000"/>
                <w:sz w:val="18"/>
              </w:rPr>
              <w:t>).</w:t>
            </w:r>
          </w:p>
        </w:tc>
      </w:tr>
    </w:tbl>
    <w:p w14:paraId="258375F3" w14:textId="69175A8D" w:rsidR="00A61E8F" w:rsidRPr="00171323" w:rsidRDefault="00A61E8F" w:rsidP="00A61E8F">
      <w:pPr>
        <w:pStyle w:val="COMTitleDecision"/>
        <w:ind w:left="142" w:hanging="142"/>
      </w:pPr>
      <w:r w:rsidRPr="00171323">
        <w:t>RESOLUCIÓN 10.GA 9</w:t>
      </w:r>
    </w:p>
    <w:p w14:paraId="6B1DDEC3" w14:textId="77777777" w:rsidR="00771B6E" w:rsidRPr="00171323" w:rsidRDefault="00771B6E" w:rsidP="00771B6E">
      <w:pPr>
        <w:pStyle w:val="GAPreambulaResolution"/>
        <w:ind w:hanging="567"/>
        <w:rPr>
          <w:rFonts w:asciiTheme="minorBidi" w:hAnsiTheme="minorBidi" w:cstheme="minorBidi"/>
        </w:rPr>
      </w:pPr>
      <w:r w:rsidRPr="00171323">
        <w:rPr>
          <w:rFonts w:asciiTheme="minorBidi" w:hAnsiTheme="minorBidi"/>
        </w:rPr>
        <w:t>La Asamblea General,</w:t>
      </w:r>
    </w:p>
    <w:p w14:paraId="73F7C7A9" w14:textId="3096AA4F" w:rsidR="00771B6E" w:rsidRPr="00171323" w:rsidRDefault="00771B6E" w:rsidP="00771B6E">
      <w:pPr>
        <w:pStyle w:val="COMParaDecision"/>
        <w:numPr>
          <w:ilvl w:val="0"/>
          <w:numId w:val="34"/>
        </w:numPr>
        <w:ind w:left="709" w:hanging="709"/>
        <w:jc w:val="left"/>
        <w:rPr>
          <w:rFonts w:asciiTheme="minorBidi" w:hAnsiTheme="minorBidi" w:cstheme="minorBidi"/>
        </w:rPr>
      </w:pPr>
      <w:r w:rsidRPr="00171323">
        <w:rPr>
          <w:rFonts w:asciiTheme="minorBidi" w:hAnsiTheme="minorBidi"/>
        </w:rPr>
        <w:t>Habiendo examinado</w:t>
      </w:r>
      <w:r w:rsidRPr="00171323">
        <w:rPr>
          <w:rFonts w:asciiTheme="minorBidi" w:hAnsiTheme="minorBidi"/>
          <w:u w:val="none"/>
        </w:rPr>
        <w:t xml:space="preserve"> el documento </w:t>
      </w:r>
      <w:hyperlink r:id="rId34" w:history="1">
        <w:r w:rsidRPr="00171323">
          <w:rPr>
            <w:rStyle w:val="Lienhypertexte"/>
            <w:rFonts w:asciiTheme="minorBidi" w:hAnsiTheme="minorBidi"/>
          </w:rPr>
          <w:t>LHE/24/10.GA/9</w:t>
        </w:r>
      </w:hyperlink>
      <w:r w:rsidRPr="00171323">
        <w:rPr>
          <w:rFonts w:asciiTheme="minorBidi" w:hAnsiTheme="minorBidi"/>
          <w:u w:val="none"/>
        </w:rPr>
        <w:t xml:space="preserve"> y su anexo,</w:t>
      </w:r>
    </w:p>
    <w:p w14:paraId="03B3A319" w14:textId="77777777" w:rsidR="00771B6E" w:rsidRPr="00171323" w:rsidRDefault="00771B6E" w:rsidP="00771B6E">
      <w:pPr>
        <w:pStyle w:val="COMParaDecision"/>
        <w:ind w:left="709" w:hanging="578"/>
        <w:rPr>
          <w:rFonts w:asciiTheme="minorBidi" w:hAnsiTheme="minorBidi" w:cstheme="minorBidi"/>
        </w:rPr>
      </w:pPr>
      <w:r w:rsidRPr="00171323">
        <w:rPr>
          <w:rFonts w:asciiTheme="minorBidi" w:hAnsiTheme="minorBidi"/>
        </w:rPr>
        <w:t>Recordando</w:t>
      </w:r>
      <w:r w:rsidRPr="00171323">
        <w:rPr>
          <w:rFonts w:asciiTheme="minorBidi" w:hAnsiTheme="minorBidi"/>
          <w:u w:val="none"/>
        </w:rPr>
        <w:t xml:space="preserve"> el Artículo 9 de la Convención y los párrafos 91 a 99 de las Directrices Operativas,</w:t>
      </w:r>
    </w:p>
    <w:p w14:paraId="1D849D92" w14:textId="77777777" w:rsidR="00771B6E" w:rsidRPr="00171323" w:rsidRDefault="00771B6E" w:rsidP="00771B6E">
      <w:pPr>
        <w:pStyle w:val="COMParaDecision"/>
        <w:ind w:left="709" w:hanging="578"/>
        <w:rPr>
          <w:rFonts w:asciiTheme="minorBidi" w:hAnsiTheme="minorBidi" w:cstheme="minorBidi"/>
        </w:rPr>
      </w:pPr>
      <w:r w:rsidRPr="00171323">
        <w:rPr>
          <w:rFonts w:asciiTheme="minorBidi" w:hAnsiTheme="minorBidi"/>
        </w:rPr>
        <w:lastRenderedPageBreak/>
        <w:t>Recordando también</w:t>
      </w:r>
      <w:r w:rsidRPr="00171323">
        <w:rPr>
          <w:rFonts w:asciiTheme="minorBidi" w:hAnsiTheme="minorBidi"/>
          <w:u w:val="none"/>
        </w:rPr>
        <w:t xml:space="preserve"> la Decisión </w:t>
      </w:r>
      <w:hyperlink r:id="rId35" w:history="1">
        <w:r w:rsidRPr="00171323">
          <w:rPr>
            <w:rStyle w:val="Lienhypertexte"/>
            <w:rFonts w:asciiTheme="minorBidi" w:hAnsiTheme="minorBidi"/>
          </w:rPr>
          <w:t>18.COM 16</w:t>
        </w:r>
      </w:hyperlink>
      <w:r w:rsidRPr="00171323">
        <w:rPr>
          <w:rStyle w:val="Lienhypertexte"/>
          <w:rFonts w:asciiTheme="minorBidi" w:hAnsiTheme="minorBidi"/>
          <w:u w:val="none"/>
        </w:rPr>
        <w:t>,</w:t>
      </w:r>
    </w:p>
    <w:p w14:paraId="039DB951" w14:textId="77777777" w:rsidR="00771B6E" w:rsidRPr="00171323" w:rsidRDefault="00771B6E" w:rsidP="00771B6E">
      <w:pPr>
        <w:pStyle w:val="COMParaDecision"/>
        <w:ind w:left="709" w:hanging="578"/>
        <w:rPr>
          <w:rFonts w:asciiTheme="minorBidi" w:hAnsiTheme="minorBidi" w:cstheme="minorBidi"/>
        </w:rPr>
      </w:pPr>
      <w:r w:rsidRPr="00171323">
        <w:rPr>
          <w:rFonts w:asciiTheme="minorBidi" w:hAnsiTheme="minorBidi"/>
        </w:rPr>
        <w:t>Acredita</w:t>
      </w:r>
      <w:r w:rsidRPr="00171323">
        <w:rPr>
          <w:rFonts w:asciiTheme="minorBidi" w:hAnsiTheme="minorBidi"/>
          <w:u w:val="none"/>
        </w:rPr>
        <w:t xml:space="preserve"> a las 58 ONG enumeradas en el anexo de esta resolución con fines de asistencia consultiva ante el Comité;</w:t>
      </w:r>
    </w:p>
    <w:p w14:paraId="54DB12A5" w14:textId="77777777" w:rsidR="00771B6E" w:rsidRPr="00171323" w:rsidRDefault="00771B6E" w:rsidP="00771B6E">
      <w:pPr>
        <w:pStyle w:val="COMParaDecision"/>
        <w:ind w:left="709" w:hanging="578"/>
        <w:rPr>
          <w:rFonts w:asciiTheme="minorBidi" w:hAnsiTheme="minorBidi" w:cstheme="minorBidi"/>
        </w:rPr>
      </w:pPr>
      <w:r w:rsidRPr="00171323">
        <w:rPr>
          <w:rFonts w:asciiTheme="minorBidi" w:hAnsiTheme="minorBidi"/>
        </w:rPr>
        <w:t>Alienta</w:t>
      </w:r>
      <w:r w:rsidRPr="00171323">
        <w:rPr>
          <w:rFonts w:asciiTheme="minorBidi" w:hAnsiTheme="minorBidi"/>
          <w:u w:val="none"/>
        </w:rPr>
        <w:t xml:space="preserve"> a las ONG de los grupos electorales subrepresentados que cumplan con los criterios de acreditación a presentar sus solicitudes de acreditación lo antes posible a fin de mejorar la distribución geográfica de las ONG acreditadas </w:t>
      </w:r>
      <w:bookmarkStart w:id="3" w:name="_Hlk47615881"/>
      <w:r w:rsidRPr="00171323">
        <w:rPr>
          <w:rFonts w:asciiTheme="minorBidi" w:hAnsiTheme="minorBidi"/>
          <w:u w:val="none"/>
        </w:rPr>
        <w:t xml:space="preserve">e </w:t>
      </w:r>
      <w:r w:rsidRPr="00171323">
        <w:rPr>
          <w:rFonts w:asciiTheme="minorBidi" w:hAnsiTheme="minorBidi"/>
        </w:rPr>
        <w:t>invita</w:t>
      </w:r>
      <w:r w:rsidRPr="00171323">
        <w:rPr>
          <w:rFonts w:asciiTheme="minorBidi" w:hAnsiTheme="minorBidi"/>
          <w:u w:val="none"/>
        </w:rPr>
        <w:t xml:space="preserve"> a los Estados Partes de dichos grupos electorales a difundir ampliamente esta invitación a las ONG con sede en sus territorios;</w:t>
      </w:r>
    </w:p>
    <w:bookmarkEnd w:id="3"/>
    <w:p w14:paraId="736722F3" w14:textId="77777777" w:rsidR="00771B6E" w:rsidRPr="00171323" w:rsidRDefault="00771B6E" w:rsidP="00771B6E">
      <w:pPr>
        <w:pStyle w:val="COMParaDecision"/>
        <w:keepLines/>
        <w:ind w:left="709" w:hanging="578"/>
        <w:rPr>
          <w:rFonts w:asciiTheme="minorBidi" w:hAnsiTheme="minorBidi" w:cstheme="minorBidi"/>
        </w:rPr>
      </w:pPr>
      <w:r w:rsidRPr="00171323">
        <w:rPr>
          <w:rFonts w:asciiTheme="minorBidi" w:hAnsiTheme="minorBidi"/>
        </w:rPr>
        <w:t>Recuerda</w:t>
      </w:r>
      <w:r w:rsidRPr="00171323">
        <w:rPr>
          <w:rFonts w:asciiTheme="minorBidi" w:hAnsiTheme="minorBidi"/>
          <w:u w:val="none"/>
        </w:rPr>
        <w:t xml:space="preserve"> a las ONG acreditadas en 2012, 2016 y 2020 que deben presentar su informe cuatrienal a la Secretaría antes de la fecha límite del 15 de febrero de 2025 para que la veintésima reunión del Comité pueda examinar las contribuciones y el compromiso de cada organización consultiva.</w:t>
      </w:r>
    </w:p>
    <w:p w14:paraId="520CEEA8" w14:textId="77777777" w:rsidR="002E550F" w:rsidRPr="00171323" w:rsidRDefault="002E550F" w:rsidP="002E550F">
      <w:pPr>
        <w:pStyle w:val="COMParaDecision"/>
        <w:numPr>
          <w:ilvl w:val="0"/>
          <w:numId w:val="0"/>
        </w:numPr>
        <w:spacing w:before="240" w:after="240"/>
        <w:jc w:val="center"/>
        <w:rPr>
          <w:rFonts w:asciiTheme="minorBidi" w:hAnsiTheme="minorBidi" w:cstheme="minorBidi"/>
          <w:b/>
          <w:bCs/>
          <w:snapToGrid w:val="0"/>
          <w:u w:val="none"/>
        </w:rPr>
      </w:pPr>
      <w:r w:rsidRPr="00171323">
        <w:rPr>
          <w:rFonts w:asciiTheme="minorBidi" w:hAnsiTheme="minorBidi"/>
          <w:b/>
          <w:snapToGrid w:val="0"/>
          <w:u w:val="none"/>
        </w:rPr>
        <w:t>Anexo: Cincuenta y ocho organizaciones no gubernamentales recomendadas para su acreditación por la decimoctava reunión del Comité.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45"/>
        <w:gridCol w:w="1621"/>
      </w:tblGrid>
      <w:tr w:rsidR="002E550F" w:rsidRPr="00171323" w14:paraId="115E5231" w14:textId="77777777" w:rsidTr="00F86A5F">
        <w:trPr>
          <w:trHeight w:val="576"/>
        </w:trPr>
        <w:tc>
          <w:tcPr>
            <w:tcW w:w="3148" w:type="pct"/>
            <w:shd w:val="clear" w:color="auto" w:fill="4F81BD" w:themeFill="accent1"/>
            <w:vAlign w:val="center"/>
            <w:hideMark/>
          </w:tcPr>
          <w:p w14:paraId="552C8DF4" w14:textId="77777777" w:rsidR="002E550F" w:rsidRPr="00171323" w:rsidRDefault="002E550F" w:rsidP="00F86A5F">
            <w:pPr>
              <w:contextualSpacing/>
              <w:jc w:val="center"/>
              <w:rPr>
                <w:rFonts w:asciiTheme="minorBidi" w:hAnsiTheme="minorBidi" w:cstheme="minorBidi"/>
                <w:b/>
                <w:bCs/>
                <w:sz w:val="20"/>
                <w:szCs w:val="20"/>
              </w:rPr>
            </w:pPr>
            <w:r w:rsidRPr="00171323">
              <w:rPr>
                <w:rFonts w:asciiTheme="minorBidi" w:hAnsiTheme="minorBidi"/>
                <w:b/>
                <w:sz w:val="20"/>
              </w:rPr>
              <w:t>Nombre de la organización</w:t>
            </w:r>
          </w:p>
        </w:tc>
        <w:tc>
          <w:tcPr>
            <w:tcW w:w="1010" w:type="pct"/>
            <w:shd w:val="clear" w:color="auto" w:fill="4F81BD" w:themeFill="accent1"/>
            <w:vAlign w:val="center"/>
            <w:hideMark/>
          </w:tcPr>
          <w:p w14:paraId="294EAB33" w14:textId="77777777" w:rsidR="002E550F" w:rsidRPr="00171323" w:rsidRDefault="002E550F" w:rsidP="00F86A5F">
            <w:pPr>
              <w:contextualSpacing/>
              <w:jc w:val="center"/>
              <w:rPr>
                <w:rFonts w:asciiTheme="minorBidi" w:hAnsiTheme="minorBidi" w:cstheme="minorBidi"/>
                <w:b/>
                <w:bCs/>
                <w:sz w:val="20"/>
                <w:szCs w:val="20"/>
              </w:rPr>
            </w:pPr>
            <w:r w:rsidRPr="00171323">
              <w:rPr>
                <w:rFonts w:asciiTheme="minorBidi" w:hAnsiTheme="minorBidi"/>
                <w:b/>
                <w:sz w:val="20"/>
              </w:rPr>
              <w:t>País del domicilio social</w:t>
            </w:r>
          </w:p>
        </w:tc>
        <w:tc>
          <w:tcPr>
            <w:tcW w:w="842" w:type="pct"/>
            <w:shd w:val="clear" w:color="auto" w:fill="4F81BD" w:themeFill="accent1"/>
            <w:vAlign w:val="center"/>
            <w:hideMark/>
          </w:tcPr>
          <w:p w14:paraId="4A0A8A09" w14:textId="77777777" w:rsidR="002E550F" w:rsidRPr="00171323" w:rsidRDefault="002E550F" w:rsidP="00F86A5F">
            <w:pPr>
              <w:contextualSpacing/>
              <w:jc w:val="center"/>
              <w:rPr>
                <w:rFonts w:asciiTheme="minorBidi" w:hAnsiTheme="minorBidi" w:cstheme="minorBidi"/>
                <w:b/>
                <w:bCs/>
                <w:sz w:val="20"/>
                <w:szCs w:val="20"/>
              </w:rPr>
            </w:pPr>
            <w:r w:rsidRPr="00171323">
              <w:rPr>
                <w:rFonts w:asciiTheme="minorBidi" w:hAnsiTheme="minorBidi"/>
                <w:b/>
                <w:sz w:val="20"/>
              </w:rPr>
              <w:t>Número de solicitud</w:t>
            </w:r>
          </w:p>
        </w:tc>
      </w:tr>
      <w:tr w:rsidR="002E550F" w:rsidRPr="00171323" w14:paraId="11953F2B" w14:textId="77777777" w:rsidTr="00F86A5F">
        <w:trPr>
          <w:trHeight w:val="576"/>
        </w:trPr>
        <w:tc>
          <w:tcPr>
            <w:tcW w:w="3148" w:type="pct"/>
            <w:vAlign w:val="center"/>
          </w:tcPr>
          <w:p w14:paraId="6A83C9E3"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4 </w:t>
            </w:r>
            <w:proofErr w:type="gramStart"/>
            <w:r w:rsidRPr="00171323">
              <w:rPr>
                <w:rFonts w:asciiTheme="minorBidi" w:hAnsiTheme="minorBidi"/>
                <w:b/>
                <w:sz w:val="20"/>
              </w:rPr>
              <w:t>Grada</w:t>
            </w:r>
            <w:proofErr w:type="gramEnd"/>
            <w:r w:rsidRPr="00171323">
              <w:rPr>
                <w:rFonts w:asciiTheme="minorBidi" w:hAnsiTheme="minorBidi"/>
                <w:b/>
                <w:sz w:val="20"/>
              </w:rPr>
              <w:t xml:space="preserve"> </w:t>
            </w:r>
            <w:proofErr w:type="spellStart"/>
            <w:r w:rsidRPr="00171323">
              <w:rPr>
                <w:rFonts w:asciiTheme="minorBidi" w:hAnsiTheme="minorBidi"/>
                <w:b/>
                <w:sz w:val="20"/>
              </w:rPr>
              <w:t>Dragodid</w:t>
            </w:r>
            <w:proofErr w:type="spellEnd"/>
          </w:p>
        </w:tc>
        <w:tc>
          <w:tcPr>
            <w:tcW w:w="1010" w:type="pct"/>
            <w:vAlign w:val="center"/>
          </w:tcPr>
          <w:p w14:paraId="5CE4EA1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Croacia</w:t>
            </w:r>
          </w:p>
        </w:tc>
        <w:tc>
          <w:tcPr>
            <w:tcW w:w="842" w:type="pct"/>
            <w:vAlign w:val="center"/>
          </w:tcPr>
          <w:p w14:paraId="54F68D3D"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NGO-90566</w:t>
            </w:r>
          </w:p>
        </w:tc>
      </w:tr>
      <w:tr w:rsidR="002E550F" w:rsidRPr="00171323" w14:paraId="36C2E8EB" w14:textId="77777777" w:rsidTr="00F86A5F">
        <w:trPr>
          <w:trHeight w:val="576"/>
        </w:trPr>
        <w:tc>
          <w:tcPr>
            <w:tcW w:w="3148" w:type="pct"/>
            <w:shd w:val="clear" w:color="auto" w:fill="DBE5F1" w:themeFill="accent1" w:themeFillTint="33"/>
            <w:vAlign w:val="center"/>
          </w:tcPr>
          <w:p w14:paraId="25A51E94"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Acción Cultural </w:t>
            </w:r>
            <w:proofErr w:type="spellStart"/>
            <w:r w:rsidRPr="00171323">
              <w:rPr>
                <w:rFonts w:asciiTheme="minorBidi" w:hAnsiTheme="minorBidi"/>
                <w:b/>
                <w:sz w:val="20"/>
              </w:rPr>
              <w:t>Ngobe</w:t>
            </w:r>
            <w:proofErr w:type="spellEnd"/>
            <w:r w:rsidRPr="00171323">
              <w:rPr>
                <w:rFonts w:asciiTheme="minorBidi" w:hAnsiTheme="minorBidi"/>
                <w:sz w:val="20"/>
              </w:rPr>
              <w:br/>
              <w:t xml:space="preserve">Ngäbe Cultural </w:t>
            </w:r>
            <w:proofErr w:type="spellStart"/>
            <w:r w:rsidRPr="00171323">
              <w:rPr>
                <w:rFonts w:asciiTheme="minorBidi" w:hAnsiTheme="minorBidi"/>
                <w:sz w:val="20"/>
              </w:rPr>
              <w:t>Action</w:t>
            </w:r>
            <w:proofErr w:type="spellEnd"/>
          </w:p>
        </w:tc>
        <w:tc>
          <w:tcPr>
            <w:tcW w:w="1010" w:type="pct"/>
            <w:shd w:val="clear" w:color="auto" w:fill="DBE5F1" w:themeFill="accent1" w:themeFillTint="33"/>
            <w:vAlign w:val="center"/>
          </w:tcPr>
          <w:p w14:paraId="4A92D1F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Panamá</w:t>
            </w:r>
          </w:p>
        </w:tc>
        <w:tc>
          <w:tcPr>
            <w:tcW w:w="842" w:type="pct"/>
            <w:shd w:val="clear" w:color="auto" w:fill="DBE5F1" w:themeFill="accent1" w:themeFillTint="33"/>
            <w:vAlign w:val="center"/>
          </w:tcPr>
          <w:p w14:paraId="7D8D74B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NGO-90583</w:t>
            </w:r>
          </w:p>
        </w:tc>
      </w:tr>
      <w:tr w:rsidR="002E550F" w:rsidRPr="00171323" w14:paraId="61DDF321" w14:textId="77777777" w:rsidTr="00F86A5F">
        <w:trPr>
          <w:trHeight w:val="576"/>
        </w:trPr>
        <w:tc>
          <w:tcPr>
            <w:tcW w:w="3148" w:type="pct"/>
            <w:vAlign w:val="center"/>
          </w:tcPr>
          <w:p w14:paraId="6E6E5CCE"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American Folklore </w:t>
            </w:r>
            <w:proofErr w:type="spellStart"/>
            <w:r w:rsidRPr="00171323">
              <w:rPr>
                <w:rFonts w:asciiTheme="minorBidi" w:hAnsiTheme="minorBidi"/>
                <w:b/>
                <w:sz w:val="20"/>
              </w:rPr>
              <w:t>Society</w:t>
            </w:r>
            <w:proofErr w:type="spellEnd"/>
          </w:p>
        </w:tc>
        <w:tc>
          <w:tcPr>
            <w:tcW w:w="1010" w:type="pct"/>
            <w:vAlign w:val="center"/>
          </w:tcPr>
          <w:p w14:paraId="1AEB381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Estados Unidos de América</w:t>
            </w:r>
          </w:p>
        </w:tc>
        <w:tc>
          <w:tcPr>
            <w:tcW w:w="842" w:type="pct"/>
            <w:vAlign w:val="center"/>
          </w:tcPr>
          <w:p w14:paraId="4CD3512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NGO-90563</w:t>
            </w:r>
          </w:p>
        </w:tc>
      </w:tr>
      <w:tr w:rsidR="002E550F" w:rsidRPr="00171323" w14:paraId="5B421AF5" w14:textId="77777777" w:rsidTr="00F86A5F">
        <w:trPr>
          <w:trHeight w:val="576"/>
        </w:trPr>
        <w:tc>
          <w:tcPr>
            <w:tcW w:w="3148" w:type="pct"/>
            <w:shd w:val="clear" w:color="auto" w:fill="DBE5F1" w:themeFill="accent1" w:themeFillTint="33"/>
            <w:vAlign w:val="center"/>
          </w:tcPr>
          <w:p w14:paraId="1AC51348"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ART - </w:t>
            </w:r>
            <w:proofErr w:type="spellStart"/>
            <w:r w:rsidRPr="00171323">
              <w:rPr>
                <w:rFonts w:asciiTheme="minorBidi" w:hAnsiTheme="minorBidi"/>
                <w:b/>
                <w:sz w:val="20"/>
              </w:rPr>
              <w:t>Meșteșugurile</w:t>
            </w:r>
            <w:proofErr w:type="spellEnd"/>
            <w:r w:rsidRPr="00171323">
              <w:rPr>
                <w:rFonts w:asciiTheme="minorBidi" w:hAnsiTheme="minorBidi"/>
                <w:b/>
                <w:sz w:val="20"/>
              </w:rPr>
              <w:t xml:space="preserve"> </w:t>
            </w:r>
            <w:proofErr w:type="spellStart"/>
            <w:r w:rsidRPr="00171323">
              <w:rPr>
                <w:rFonts w:asciiTheme="minorBidi" w:hAnsiTheme="minorBidi"/>
                <w:b/>
                <w:sz w:val="20"/>
              </w:rPr>
              <w:t>Prutului</w:t>
            </w:r>
            <w:proofErr w:type="spellEnd"/>
            <w:r w:rsidRPr="00171323">
              <w:rPr>
                <w:rFonts w:asciiTheme="minorBidi" w:hAnsiTheme="minorBidi"/>
                <w:sz w:val="20"/>
              </w:rPr>
              <w:br/>
              <w:t xml:space="preserve">ART - </w:t>
            </w:r>
            <w:proofErr w:type="spellStart"/>
            <w:r w:rsidRPr="00171323">
              <w:rPr>
                <w:rFonts w:asciiTheme="minorBidi" w:hAnsiTheme="minorBidi"/>
                <w:sz w:val="20"/>
              </w:rPr>
              <w:t>Prut</w:t>
            </w:r>
            <w:proofErr w:type="spellEnd"/>
            <w:r w:rsidRPr="00171323">
              <w:rPr>
                <w:rFonts w:asciiTheme="minorBidi" w:hAnsiTheme="minorBidi"/>
                <w:sz w:val="20"/>
              </w:rPr>
              <w:t xml:space="preserve"> </w:t>
            </w:r>
            <w:proofErr w:type="spellStart"/>
            <w:r w:rsidRPr="00171323">
              <w:rPr>
                <w:rFonts w:asciiTheme="minorBidi" w:hAnsiTheme="minorBidi"/>
                <w:sz w:val="20"/>
              </w:rPr>
              <w:t>Crafts</w:t>
            </w:r>
            <w:proofErr w:type="spellEnd"/>
            <w:r w:rsidRPr="00171323">
              <w:rPr>
                <w:rFonts w:asciiTheme="minorBidi" w:hAnsiTheme="minorBidi"/>
                <w:sz w:val="20"/>
              </w:rPr>
              <w:t xml:space="preserve"> </w:t>
            </w:r>
            <w:proofErr w:type="spellStart"/>
            <w:r w:rsidRPr="00171323">
              <w:rPr>
                <w:rFonts w:asciiTheme="minorBidi" w:hAnsiTheme="minorBidi"/>
                <w:sz w:val="20"/>
              </w:rPr>
              <w:t>Association</w:t>
            </w:r>
            <w:proofErr w:type="spellEnd"/>
          </w:p>
        </w:tc>
        <w:tc>
          <w:tcPr>
            <w:tcW w:w="1010" w:type="pct"/>
            <w:shd w:val="clear" w:color="auto" w:fill="DBE5F1" w:themeFill="accent1" w:themeFillTint="33"/>
            <w:vAlign w:val="center"/>
          </w:tcPr>
          <w:p w14:paraId="15815FE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Rumanía</w:t>
            </w:r>
          </w:p>
        </w:tc>
        <w:tc>
          <w:tcPr>
            <w:tcW w:w="842" w:type="pct"/>
            <w:shd w:val="clear" w:color="auto" w:fill="DBE5F1" w:themeFill="accent1" w:themeFillTint="33"/>
            <w:vAlign w:val="center"/>
          </w:tcPr>
          <w:p w14:paraId="1F4954A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NGO-90577</w:t>
            </w:r>
          </w:p>
        </w:tc>
      </w:tr>
      <w:tr w:rsidR="002E550F" w:rsidRPr="00171323" w14:paraId="7D483255" w14:textId="77777777" w:rsidTr="00F86A5F">
        <w:trPr>
          <w:trHeight w:val="576"/>
        </w:trPr>
        <w:tc>
          <w:tcPr>
            <w:tcW w:w="3148" w:type="pct"/>
            <w:vAlign w:val="center"/>
          </w:tcPr>
          <w:p w14:paraId="121105FE" w14:textId="77777777" w:rsidR="002E550F" w:rsidRPr="00171323" w:rsidRDefault="002E550F" w:rsidP="00F86A5F">
            <w:pPr>
              <w:contextualSpacing/>
              <w:rPr>
                <w:rFonts w:asciiTheme="minorBidi" w:hAnsiTheme="minorBidi" w:cstheme="minorBidi"/>
                <w:sz w:val="20"/>
                <w:szCs w:val="20"/>
                <w:lang w:val="pt-PT"/>
              </w:rPr>
            </w:pPr>
            <w:r w:rsidRPr="00171323">
              <w:rPr>
                <w:rFonts w:asciiTheme="minorBidi" w:hAnsiTheme="minorBidi"/>
                <w:b/>
                <w:sz w:val="20"/>
                <w:lang w:val="pt-PT"/>
              </w:rPr>
              <w:t>Associação Camará Capoeira</w:t>
            </w:r>
            <w:r w:rsidRPr="00171323">
              <w:rPr>
                <w:rFonts w:asciiTheme="minorBidi" w:hAnsiTheme="minorBidi"/>
                <w:sz w:val="20"/>
                <w:lang w:val="pt-PT"/>
              </w:rPr>
              <w:br/>
              <w:t>Camará Capoeira Association</w:t>
            </w:r>
          </w:p>
        </w:tc>
        <w:tc>
          <w:tcPr>
            <w:tcW w:w="1010" w:type="pct"/>
            <w:vAlign w:val="center"/>
          </w:tcPr>
          <w:p w14:paraId="321FA4B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Brasil</w:t>
            </w:r>
          </w:p>
        </w:tc>
        <w:tc>
          <w:tcPr>
            <w:tcW w:w="842" w:type="pct"/>
            <w:vAlign w:val="center"/>
          </w:tcPr>
          <w:p w14:paraId="02FE9FE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NGO-90543</w:t>
            </w:r>
          </w:p>
        </w:tc>
      </w:tr>
      <w:tr w:rsidR="002E550F" w:rsidRPr="00171323" w14:paraId="28396C55" w14:textId="77777777" w:rsidTr="00F86A5F">
        <w:trPr>
          <w:trHeight w:val="576"/>
        </w:trPr>
        <w:tc>
          <w:tcPr>
            <w:tcW w:w="3148" w:type="pct"/>
            <w:shd w:val="clear" w:color="auto" w:fill="DBE5F1" w:themeFill="accent1" w:themeFillTint="33"/>
            <w:vAlign w:val="center"/>
          </w:tcPr>
          <w:p w14:paraId="55BFDE8A" w14:textId="77777777" w:rsidR="002E550F" w:rsidRPr="00171323" w:rsidRDefault="002E550F" w:rsidP="00F86A5F">
            <w:pPr>
              <w:contextualSpacing/>
              <w:rPr>
                <w:rFonts w:asciiTheme="minorBidi" w:hAnsiTheme="minorBidi" w:cstheme="minorBidi"/>
                <w:b/>
                <w:bCs/>
                <w:sz w:val="20"/>
                <w:szCs w:val="20"/>
                <w:lang w:val="pt-PT"/>
              </w:rPr>
            </w:pPr>
            <w:r w:rsidRPr="00171323">
              <w:rPr>
                <w:rFonts w:asciiTheme="minorBidi" w:hAnsiTheme="minorBidi"/>
                <w:b/>
                <w:sz w:val="20"/>
                <w:lang w:val="pt-PT"/>
              </w:rPr>
              <w:t>Associação Nacional das Baianas de Acarajé, Mingau, Receptivo, e Similares</w:t>
            </w:r>
            <w:r w:rsidRPr="00171323">
              <w:rPr>
                <w:rFonts w:asciiTheme="minorBidi" w:hAnsiTheme="minorBidi"/>
                <w:sz w:val="20"/>
                <w:lang w:val="pt-PT"/>
              </w:rPr>
              <w:br/>
              <w:t>National Association of Baianas of Acarajé, Mingau, Receptive, and Similarities</w:t>
            </w:r>
          </w:p>
        </w:tc>
        <w:tc>
          <w:tcPr>
            <w:tcW w:w="1010" w:type="pct"/>
            <w:shd w:val="clear" w:color="auto" w:fill="DBE5F1" w:themeFill="accent1" w:themeFillTint="33"/>
            <w:vAlign w:val="center"/>
          </w:tcPr>
          <w:p w14:paraId="3CC9480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Brasil</w:t>
            </w:r>
          </w:p>
        </w:tc>
        <w:tc>
          <w:tcPr>
            <w:tcW w:w="842" w:type="pct"/>
            <w:shd w:val="clear" w:color="auto" w:fill="DBE5F1" w:themeFill="accent1" w:themeFillTint="33"/>
            <w:vAlign w:val="center"/>
          </w:tcPr>
          <w:p w14:paraId="10DDCE2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NGO-90580</w:t>
            </w:r>
          </w:p>
        </w:tc>
      </w:tr>
      <w:tr w:rsidR="002E550F" w:rsidRPr="00171323" w14:paraId="2F650B50" w14:textId="77777777" w:rsidTr="00F86A5F">
        <w:trPr>
          <w:trHeight w:val="576"/>
        </w:trPr>
        <w:tc>
          <w:tcPr>
            <w:tcW w:w="3148" w:type="pct"/>
            <w:vAlign w:val="center"/>
          </w:tcPr>
          <w:p w14:paraId="3DFDB007" w14:textId="77777777" w:rsidR="002E550F" w:rsidRPr="00171323" w:rsidRDefault="002E550F" w:rsidP="00F86A5F">
            <w:pPr>
              <w:contextualSpacing/>
              <w:rPr>
                <w:rFonts w:asciiTheme="minorBidi" w:hAnsiTheme="minorBidi" w:cstheme="minorBidi"/>
                <w:b/>
                <w:bCs/>
                <w:sz w:val="20"/>
                <w:szCs w:val="20"/>
                <w:lang w:val="fr-FR"/>
              </w:rPr>
            </w:pPr>
            <w:r w:rsidRPr="00171323">
              <w:rPr>
                <w:rFonts w:asciiTheme="minorBidi" w:hAnsiTheme="minorBidi"/>
                <w:b/>
                <w:sz w:val="20"/>
                <w:lang w:val="fr-FR"/>
              </w:rPr>
              <w:t xml:space="preserve">Association Al </w:t>
            </w:r>
            <w:proofErr w:type="spellStart"/>
            <w:r w:rsidRPr="00171323">
              <w:rPr>
                <w:rFonts w:asciiTheme="minorBidi" w:hAnsiTheme="minorBidi"/>
                <w:b/>
                <w:sz w:val="20"/>
                <w:lang w:val="fr-FR"/>
              </w:rPr>
              <w:t>Muniya</w:t>
            </w:r>
            <w:proofErr w:type="spellEnd"/>
            <w:r w:rsidRPr="00171323">
              <w:rPr>
                <w:rFonts w:asciiTheme="minorBidi" w:hAnsiTheme="minorBidi"/>
                <w:b/>
                <w:sz w:val="20"/>
                <w:lang w:val="fr-FR"/>
              </w:rPr>
              <w:t xml:space="preserve"> de Marrakech pour la revivification et la préservation du patrimoine du Royaume du Maroc</w:t>
            </w:r>
          </w:p>
        </w:tc>
        <w:tc>
          <w:tcPr>
            <w:tcW w:w="1010" w:type="pct"/>
            <w:vAlign w:val="center"/>
          </w:tcPr>
          <w:p w14:paraId="4856CA6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Marruecos</w:t>
            </w:r>
          </w:p>
        </w:tc>
        <w:tc>
          <w:tcPr>
            <w:tcW w:w="842" w:type="pct"/>
            <w:vAlign w:val="center"/>
          </w:tcPr>
          <w:p w14:paraId="449F53F7"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NGO-90528</w:t>
            </w:r>
          </w:p>
        </w:tc>
      </w:tr>
      <w:tr w:rsidR="002E550F" w:rsidRPr="00171323" w14:paraId="566F7F1A" w14:textId="77777777" w:rsidTr="00F86A5F">
        <w:trPr>
          <w:trHeight w:val="576"/>
        </w:trPr>
        <w:tc>
          <w:tcPr>
            <w:tcW w:w="3148" w:type="pct"/>
            <w:shd w:val="clear" w:color="auto" w:fill="DBE5F1" w:themeFill="accent1" w:themeFillTint="33"/>
            <w:vAlign w:val="center"/>
          </w:tcPr>
          <w:p w14:paraId="526FDB12" w14:textId="77777777" w:rsidR="002E550F" w:rsidRPr="00171323" w:rsidRDefault="002E550F" w:rsidP="00F86A5F">
            <w:pPr>
              <w:contextualSpacing/>
              <w:rPr>
                <w:rFonts w:asciiTheme="minorBidi" w:hAnsiTheme="minorBidi" w:cstheme="minorBidi"/>
                <w:b/>
                <w:bCs/>
                <w:sz w:val="20"/>
                <w:szCs w:val="20"/>
                <w:lang w:val="fr-FR"/>
              </w:rPr>
            </w:pPr>
            <w:r w:rsidRPr="00171323">
              <w:rPr>
                <w:rFonts w:asciiTheme="minorBidi" w:hAnsiTheme="minorBidi"/>
                <w:b/>
                <w:sz w:val="20"/>
                <w:lang w:val="fr-FR"/>
              </w:rPr>
              <w:t>Association Culture, Paix et Développement (CPD)</w:t>
            </w:r>
          </w:p>
        </w:tc>
        <w:tc>
          <w:tcPr>
            <w:tcW w:w="1010" w:type="pct"/>
            <w:shd w:val="clear" w:color="auto" w:fill="DBE5F1" w:themeFill="accent1" w:themeFillTint="33"/>
            <w:vAlign w:val="center"/>
          </w:tcPr>
          <w:p w14:paraId="283427AB"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Togo</w:t>
            </w:r>
          </w:p>
        </w:tc>
        <w:tc>
          <w:tcPr>
            <w:tcW w:w="842" w:type="pct"/>
            <w:shd w:val="clear" w:color="auto" w:fill="DBE5F1" w:themeFill="accent1" w:themeFillTint="33"/>
            <w:vAlign w:val="center"/>
          </w:tcPr>
          <w:p w14:paraId="73E294B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NGO-90564</w:t>
            </w:r>
          </w:p>
        </w:tc>
      </w:tr>
      <w:tr w:rsidR="002E550F" w:rsidRPr="00171323" w14:paraId="5124EE40" w14:textId="77777777" w:rsidTr="00F86A5F">
        <w:trPr>
          <w:trHeight w:val="576"/>
        </w:trPr>
        <w:tc>
          <w:tcPr>
            <w:tcW w:w="3148" w:type="pct"/>
            <w:vAlign w:val="center"/>
          </w:tcPr>
          <w:p w14:paraId="0E6BEDD4" w14:textId="77777777" w:rsidR="002E550F" w:rsidRPr="00171323" w:rsidRDefault="002E550F" w:rsidP="00F86A5F">
            <w:pPr>
              <w:contextualSpacing/>
              <w:rPr>
                <w:rFonts w:asciiTheme="minorBidi" w:hAnsiTheme="minorBidi" w:cstheme="minorBidi"/>
                <w:b/>
                <w:bCs/>
                <w:sz w:val="20"/>
                <w:szCs w:val="20"/>
                <w:lang w:val="fr-FR"/>
              </w:rPr>
            </w:pPr>
            <w:r w:rsidRPr="00171323">
              <w:rPr>
                <w:rFonts w:asciiTheme="minorBidi" w:hAnsiTheme="minorBidi"/>
                <w:b/>
                <w:sz w:val="20"/>
                <w:lang w:val="fr-FR"/>
              </w:rPr>
              <w:t>Association tunisienne de sauvegarde et de valorisation du Patrimoine Culturel Immatériel tunisien</w:t>
            </w:r>
          </w:p>
        </w:tc>
        <w:tc>
          <w:tcPr>
            <w:tcW w:w="1010" w:type="pct"/>
            <w:vAlign w:val="center"/>
          </w:tcPr>
          <w:p w14:paraId="5D8F884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Túnez</w:t>
            </w:r>
          </w:p>
        </w:tc>
        <w:tc>
          <w:tcPr>
            <w:tcW w:w="842" w:type="pct"/>
            <w:vAlign w:val="center"/>
          </w:tcPr>
          <w:p w14:paraId="666BD05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NGO-90525</w:t>
            </w:r>
          </w:p>
        </w:tc>
      </w:tr>
      <w:tr w:rsidR="002E550F" w:rsidRPr="00171323" w14:paraId="508C4A8D" w14:textId="77777777" w:rsidTr="00F86A5F">
        <w:trPr>
          <w:trHeight w:val="576"/>
        </w:trPr>
        <w:tc>
          <w:tcPr>
            <w:tcW w:w="3148" w:type="pct"/>
            <w:shd w:val="clear" w:color="auto" w:fill="DBE5F1" w:themeFill="accent1" w:themeFillTint="33"/>
            <w:vAlign w:val="center"/>
          </w:tcPr>
          <w:p w14:paraId="10D4FA20" w14:textId="77777777" w:rsidR="002E550F" w:rsidRPr="00171323" w:rsidRDefault="002E550F" w:rsidP="00F86A5F">
            <w:pPr>
              <w:contextualSpacing/>
              <w:rPr>
                <w:rFonts w:asciiTheme="minorBidi" w:hAnsiTheme="minorBidi" w:cstheme="minorBidi"/>
                <w:b/>
                <w:bCs/>
                <w:sz w:val="20"/>
                <w:szCs w:val="20"/>
                <w:lang w:val="it-IT"/>
              </w:rPr>
            </w:pPr>
            <w:r w:rsidRPr="00171323">
              <w:rPr>
                <w:rFonts w:asciiTheme="minorBidi" w:hAnsiTheme="minorBidi"/>
                <w:b/>
                <w:sz w:val="20"/>
                <w:lang w:val="it-IT"/>
              </w:rPr>
              <w:t>Associazione Cultura Italiae</w:t>
            </w:r>
            <w:r w:rsidRPr="00171323">
              <w:rPr>
                <w:rFonts w:asciiTheme="minorBidi" w:hAnsiTheme="minorBidi"/>
                <w:sz w:val="20"/>
                <w:lang w:val="it-IT"/>
              </w:rPr>
              <w:br/>
              <w:t>Association Culture of Italy</w:t>
            </w:r>
          </w:p>
        </w:tc>
        <w:tc>
          <w:tcPr>
            <w:tcW w:w="1010" w:type="pct"/>
            <w:shd w:val="clear" w:color="auto" w:fill="DBE5F1" w:themeFill="accent1" w:themeFillTint="33"/>
            <w:vAlign w:val="center"/>
          </w:tcPr>
          <w:p w14:paraId="558C4E2D"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Italia</w:t>
            </w:r>
          </w:p>
        </w:tc>
        <w:tc>
          <w:tcPr>
            <w:tcW w:w="842" w:type="pct"/>
            <w:shd w:val="clear" w:color="auto" w:fill="DBE5F1" w:themeFill="accent1" w:themeFillTint="33"/>
            <w:vAlign w:val="center"/>
          </w:tcPr>
          <w:p w14:paraId="02A0092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NGO-90589</w:t>
            </w:r>
          </w:p>
        </w:tc>
      </w:tr>
      <w:tr w:rsidR="002E550F" w:rsidRPr="00171323" w14:paraId="6135CA31" w14:textId="77777777" w:rsidTr="00F86A5F">
        <w:trPr>
          <w:trHeight w:val="576"/>
        </w:trPr>
        <w:tc>
          <w:tcPr>
            <w:tcW w:w="3148" w:type="pct"/>
            <w:vAlign w:val="center"/>
          </w:tcPr>
          <w:p w14:paraId="3114E934" w14:textId="77777777" w:rsidR="002E550F" w:rsidRPr="00171323" w:rsidRDefault="002E550F" w:rsidP="00F86A5F">
            <w:pPr>
              <w:contextualSpacing/>
              <w:rPr>
                <w:rFonts w:asciiTheme="minorBidi" w:hAnsiTheme="minorBidi" w:cstheme="minorBidi"/>
                <w:b/>
                <w:bCs/>
                <w:sz w:val="20"/>
                <w:szCs w:val="20"/>
                <w:lang w:val="pt-PT"/>
              </w:rPr>
            </w:pPr>
            <w:r w:rsidRPr="00171323">
              <w:rPr>
                <w:rFonts w:asciiTheme="minorBidi" w:hAnsiTheme="minorBidi"/>
                <w:b/>
                <w:sz w:val="20"/>
                <w:lang w:val="pt-PT"/>
              </w:rPr>
              <w:t>Associazione Ecomuseo Casilino ad Duas Lauros</w:t>
            </w:r>
            <w:r w:rsidRPr="00171323">
              <w:rPr>
                <w:rFonts w:asciiTheme="minorBidi" w:hAnsiTheme="minorBidi"/>
                <w:sz w:val="20"/>
                <w:lang w:val="pt-PT"/>
              </w:rPr>
              <w:br/>
              <w:t>Ecomuseum Casilino ad Duas Lauros Association</w:t>
            </w:r>
          </w:p>
        </w:tc>
        <w:tc>
          <w:tcPr>
            <w:tcW w:w="1010" w:type="pct"/>
            <w:vAlign w:val="center"/>
          </w:tcPr>
          <w:p w14:paraId="0A43428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Italia</w:t>
            </w:r>
          </w:p>
        </w:tc>
        <w:tc>
          <w:tcPr>
            <w:tcW w:w="842" w:type="pct"/>
            <w:vAlign w:val="center"/>
          </w:tcPr>
          <w:p w14:paraId="515C690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NGO-90582</w:t>
            </w:r>
          </w:p>
        </w:tc>
      </w:tr>
      <w:tr w:rsidR="002E550F" w:rsidRPr="00171323" w14:paraId="02AC1CAF" w14:textId="77777777" w:rsidTr="00F86A5F">
        <w:trPr>
          <w:trHeight w:val="576"/>
        </w:trPr>
        <w:tc>
          <w:tcPr>
            <w:tcW w:w="3148" w:type="pct"/>
            <w:shd w:val="clear" w:color="auto" w:fill="DBE5F1" w:themeFill="accent1" w:themeFillTint="33"/>
            <w:vAlign w:val="center"/>
          </w:tcPr>
          <w:p w14:paraId="679AB0C9"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Barbados </w:t>
            </w:r>
            <w:proofErr w:type="spellStart"/>
            <w:r w:rsidRPr="00171323">
              <w:rPr>
                <w:rFonts w:asciiTheme="minorBidi" w:hAnsiTheme="minorBidi"/>
                <w:b/>
                <w:sz w:val="20"/>
              </w:rPr>
              <w:t>Museum</w:t>
            </w:r>
            <w:proofErr w:type="spellEnd"/>
            <w:r w:rsidRPr="00171323">
              <w:rPr>
                <w:rFonts w:asciiTheme="minorBidi" w:hAnsiTheme="minorBidi"/>
                <w:b/>
                <w:sz w:val="20"/>
              </w:rPr>
              <w:t xml:space="preserve"> &amp; </w:t>
            </w:r>
            <w:proofErr w:type="spellStart"/>
            <w:r w:rsidRPr="00171323">
              <w:rPr>
                <w:rFonts w:asciiTheme="minorBidi" w:hAnsiTheme="minorBidi"/>
                <w:b/>
                <w:sz w:val="20"/>
              </w:rPr>
              <w:t>Historical</w:t>
            </w:r>
            <w:proofErr w:type="spellEnd"/>
            <w:r w:rsidRPr="00171323">
              <w:rPr>
                <w:rFonts w:asciiTheme="minorBidi" w:hAnsiTheme="minorBidi"/>
                <w:b/>
                <w:sz w:val="20"/>
              </w:rPr>
              <w:t xml:space="preserve"> </w:t>
            </w:r>
            <w:proofErr w:type="spellStart"/>
            <w:r w:rsidRPr="00171323">
              <w:rPr>
                <w:rFonts w:asciiTheme="minorBidi" w:hAnsiTheme="minorBidi"/>
                <w:b/>
                <w:sz w:val="20"/>
              </w:rPr>
              <w:t>Society</w:t>
            </w:r>
            <w:proofErr w:type="spellEnd"/>
          </w:p>
        </w:tc>
        <w:tc>
          <w:tcPr>
            <w:tcW w:w="1010" w:type="pct"/>
            <w:shd w:val="clear" w:color="auto" w:fill="DBE5F1" w:themeFill="accent1" w:themeFillTint="33"/>
            <w:vAlign w:val="center"/>
          </w:tcPr>
          <w:p w14:paraId="347CF9F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Barbados</w:t>
            </w:r>
          </w:p>
        </w:tc>
        <w:tc>
          <w:tcPr>
            <w:tcW w:w="842" w:type="pct"/>
            <w:shd w:val="clear" w:color="auto" w:fill="DBE5F1" w:themeFill="accent1" w:themeFillTint="33"/>
            <w:vAlign w:val="center"/>
          </w:tcPr>
          <w:p w14:paraId="398D741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NGO-90554</w:t>
            </w:r>
          </w:p>
        </w:tc>
      </w:tr>
      <w:tr w:rsidR="002E550F" w:rsidRPr="00171323" w14:paraId="3572213E" w14:textId="77777777" w:rsidTr="00F86A5F">
        <w:trPr>
          <w:trHeight w:val="576"/>
        </w:trPr>
        <w:tc>
          <w:tcPr>
            <w:tcW w:w="3148" w:type="pct"/>
            <w:vAlign w:val="center"/>
          </w:tcPr>
          <w:p w14:paraId="1FD51621" w14:textId="77777777" w:rsidR="002E550F" w:rsidRPr="00171323" w:rsidRDefault="002E550F" w:rsidP="00F86A5F">
            <w:pPr>
              <w:contextualSpacing/>
              <w:rPr>
                <w:rFonts w:asciiTheme="minorBidi" w:hAnsiTheme="minorBidi" w:cstheme="minorBidi"/>
                <w:b/>
                <w:bCs/>
                <w:sz w:val="20"/>
                <w:szCs w:val="20"/>
                <w:lang w:val="en-US"/>
              </w:rPr>
            </w:pPr>
            <w:proofErr w:type="spellStart"/>
            <w:r w:rsidRPr="00171323">
              <w:rPr>
                <w:rFonts w:asciiTheme="minorBidi" w:hAnsiTheme="minorBidi"/>
                <w:b/>
                <w:sz w:val="20"/>
                <w:lang w:val="en-US"/>
              </w:rPr>
              <w:t>Biedrība</w:t>
            </w:r>
            <w:proofErr w:type="spellEnd"/>
            <w:r w:rsidRPr="00171323">
              <w:rPr>
                <w:rFonts w:asciiTheme="minorBidi" w:hAnsiTheme="minorBidi"/>
                <w:b/>
                <w:sz w:val="20"/>
                <w:lang w:val="en-US"/>
              </w:rPr>
              <w:t xml:space="preserve"> « </w:t>
            </w:r>
            <w:proofErr w:type="spellStart"/>
            <w:r w:rsidRPr="00171323">
              <w:rPr>
                <w:rFonts w:asciiTheme="minorBidi" w:hAnsiTheme="minorBidi"/>
                <w:b/>
                <w:sz w:val="20"/>
                <w:lang w:val="en-US"/>
              </w:rPr>
              <w:t>Suitu</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kultūras</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mantojums</w:t>
            </w:r>
            <w:proofErr w:type="spellEnd"/>
            <w:r w:rsidRPr="00171323">
              <w:rPr>
                <w:rFonts w:asciiTheme="minorBidi" w:hAnsiTheme="minorBidi"/>
                <w:b/>
                <w:sz w:val="20"/>
                <w:lang w:val="en-US"/>
              </w:rPr>
              <w:t> »</w:t>
            </w:r>
            <w:r w:rsidRPr="00171323">
              <w:rPr>
                <w:rFonts w:asciiTheme="minorBidi" w:hAnsiTheme="minorBidi"/>
                <w:sz w:val="20"/>
                <w:lang w:val="en-US"/>
              </w:rPr>
              <w:br/>
            </w:r>
            <w:proofErr w:type="spellStart"/>
            <w:r w:rsidRPr="00171323">
              <w:rPr>
                <w:rFonts w:asciiTheme="minorBidi" w:hAnsiTheme="minorBidi"/>
                <w:sz w:val="20"/>
                <w:lang w:val="en-US"/>
              </w:rPr>
              <w:t>Suiti</w:t>
            </w:r>
            <w:proofErr w:type="spellEnd"/>
            <w:r w:rsidRPr="00171323">
              <w:rPr>
                <w:rFonts w:asciiTheme="minorBidi" w:hAnsiTheme="minorBidi"/>
                <w:sz w:val="20"/>
                <w:lang w:val="en-US"/>
              </w:rPr>
              <w:t xml:space="preserve"> Cultural Heritage Foundation</w:t>
            </w:r>
          </w:p>
        </w:tc>
        <w:tc>
          <w:tcPr>
            <w:tcW w:w="1010" w:type="pct"/>
            <w:vAlign w:val="center"/>
          </w:tcPr>
          <w:p w14:paraId="4CBEBE7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Letonia</w:t>
            </w:r>
          </w:p>
        </w:tc>
        <w:tc>
          <w:tcPr>
            <w:tcW w:w="842" w:type="pct"/>
            <w:vAlign w:val="center"/>
          </w:tcPr>
          <w:p w14:paraId="4C9CC659"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NGO-90570</w:t>
            </w:r>
          </w:p>
        </w:tc>
      </w:tr>
      <w:tr w:rsidR="002E550F" w:rsidRPr="00171323" w14:paraId="37EAE27E" w14:textId="77777777" w:rsidTr="00F86A5F">
        <w:trPr>
          <w:trHeight w:val="576"/>
        </w:trPr>
        <w:tc>
          <w:tcPr>
            <w:tcW w:w="3148" w:type="pct"/>
            <w:shd w:val="clear" w:color="auto" w:fill="DBE5F1" w:themeFill="accent1" w:themeFillTint="33"/>
            <w:vAlign w:val="center"/>
          </w:tcPr>
          <w:p w14:paraId="76722A5A"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Blanchard House </w:t>
            </w:r>
            <w:proofErr w:type="spellStart"/>
            <w:r w:rsidRPr="00171323">
              <w:rPr>
                <w:rFonts w:asciiTheme="minorBidi" w:hAnsiTheme="minorBidi"/>
                <w:b/>
                <w:sz w:val="20"/>
              </w:rPr>
              <w:t>Institute</w:t>
            </w:r>
            <w:proofErr w:type="spellEnd"/>
          </w:p>
        </w:tc>
        <w:tc>
          <w:tcPr>
            <w:tcW w:w="1010" w:type="pct"/>
            <w:shd w:val="clear" w:color="auto" w:fill="DBE5F1" w:themeFill="accent1" w:themeFillTint="33"/>
            <w:vAlign w:val="center"/>
          </w:tcPr>
          <w:p w14:paraId="14CFAEF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Estados Unidos de América</w:t>
            </w:r>
          </w:p>
        </w:tc>
        <w:tc>
          <w:tcPr>
            <w:tcW w:w="842" w:type="pct"/>
            <w:shd w:val="clear" w:color="auto" w:fill="DBE5F1" w:themeFill="accent1" w:themeFillTint="33"/>
            <w:vAlign w:val="center"/>
          </w:tcPr>
          <w:p w14:paraId="7E770AEB"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NGO-90597</w:t>
            </w:r>
          </w:p>
        </w:tc>
      </w:tr>
      <w:tr w:rsidR="002E550F" w:rsidRPr="00171323" w14:paraId="23D6D207" w14:textId="77777777" w:rsidTr="00F86A5F">
        <w:trPr>
          <w:trHeight w:val="576"/>
        </w:trPr>
        <w:tc>
          <w:tcPr>
            <w:tcW w:w="3148" w:type="pct"/>
            <w:vAlign w:val="center"/>
          </w:tcPr>
          <w:p w14:paraId="48FFBED6" w14:textId="77777777" w:rsidR="002E550F" w:rsidRPr="00171323" w:rsidRDefault="002E550F" w:rsidP="00F86A5F">
            <w:pPr>
              <w:contextualSpacing/>
              <w:rPr>
                <w:rFonts w:asciiTheme="minorBidi" w:hAnsiTheme="minorBidi" w:cstheme="minorBidi"/>
                <w:b/>
                <w:bCs/>
                <w:sz w:val="20"/>
                <w:szCs w:val="20"/>
                <w:lang w:val="it-IT"/>
              </w:rPr>
            </w:pPr>
            <w:r w:rsidRPr="00171323">
              <w:rPr>
                <w:rFonts w:asciiTheme="minorBidi" w:hAnsiTheme="minorBidi"/>
                <w:b/>
                <w:sz w:val="20"/>
                <w:lang w:val="it-IT"/>
              </w:rPr>
              <w:t>Bursa UNESCO Derenği</w:t>
            </w:r>
            <w:r w:rsidRPr="00171323">
              <w:rPr>
                <w:rFonts w:asciiTheme="minorBidi" w:hAnsiTheme="minorBidi"/>
                <w:sz w:val="20"/>
                <w:lang w:val="it-IT"/>
              </w:rPr>
              <w:br/>
              <w:t>Bursa UNESCO Association</w:t>
            </w:r>
          </w:p>
        </w:tc>
        <w:tc>
          <w:tcPr>
            <w:tcW w:w="1010" w:type="pct"/>
            <w:vAlign w:val="center"/>
          </w:tcPr>
          <w:p w14:paraId="1648E10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Türkiye</w:t>
            </w:r>
          </w:p>
        </w:tc>
        <w:tc>
          <w:tcPr>
            <w:tcW w:w="842" w:type="pct"/>
            <w:vAlign w:val="center"/>
          </w:tcPr>
          <w:p w14:paraId="04ED6F6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NGO-90545</w:t>
            </w:r>
          </w:p>
        </w:tc>
      </w:tr>
      <w:tr w:rsidR="002E550F" w:rsidRPr="00171323" w14:paraId="1ABAE4AB" w14:textId="77777777" w:rsidTr="00F86A5F">
        <w:trPr>
          <w:trHeight w:val="576"/>
        </w:trPr>
        <w:tc>
          <w:tcPr>
            <w:tcW w:w="3148" w:type="pct"/>
            <w:shd w:val="clear" w:color="auto" w:fill="DBE5F1" w:themeFill="accent1" w:themeFillTint="33"/>
            <w:vAlign w:val="center"/>
          </w:tcPr>
          <w:p w14:paraId="03441EB4" w14:textId="77777777" w:rsidR="002E550F" w:rsidRPr="00171323" w:rsidRDefault="002E550F" w:rsidP="00F86A5F">
            <w:pPr>
              <w:contextualSpacing/>
              <w:rPr>
                <w:rFonts w:asciiTheme="minorBidi" w:hAnsiTheme="minorBidi" w:cstheme="minorBidi"/>
                <w:sz w:val="20"/>
                <w:szCs w:val="20"/>
                <w:lang w:val="pt-PT"/>
              </w:rPr>
            </w:pPr>
            <w:r w:rsidRPr="00171323">
              <w:rPr>
                <w:rFonts w:asciiTheme="minorBidi" w:hAnsiTheme="minorBidi"/>
                <w:b/>
                <w:sz w:val="20"/>
                <w:lang w:val="pt-PT"/>
              </w:rPr>
              <w:lastRenderedPageBreak/>
              <w:t>Clube Carbavalesco Mixto Seu Malaquias</w:t>
            </w:r>
            <w:r w:rsidRPr="00171323">
              <w:rPr>
                <w:rFonts w:asciiTheme="minorBidi" w:hAnsiTheme="minorBidi"/>
                <w:sz w:val="20"/>
                <w:lang w:val="pt-PT"/>
              </w:rPr>
              <w:br/>
              <w:t>Carnival Club Mixto Seu Malaquias</w:t>
            </w:r>
          </w:p>
        </w:tc>
        <w:tc>
          <w:tcPr>
            <w:tcW w:w="1010" w:type="pct"/>
            <w:shd w:val="clear" w:color="auto" w:fill="DBE5F1" w:themeFill="accent1" w:themeFillTint="33"/>
            <w:vAlign w:val="center"/>
          </w:tcPr>
          <w:p w14:paraId="675A8FCB"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Brasil</w:t>
            </w:r>
          </w:p>
        </w:tc>
        <w:tc>
          <w:tcPr>
            <w:tcW w:w="842" w:type="pct"/>
            <w:shd w:val="clear" w:color="auto" w:fill="DBE5F1" w:themeFill="accent1" w:themeFillTint="33"/>
            <w:vAlign w:val="center"/>
          </w:tcPr>
          <w:p w14:paraId="184B45A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NGO-90540</w:t>
            </w:r>
          </w:p>
        </w:tc>
      </w:tr>
      <w:tr w:rsidR="002E550F" w:rsidRPr="00171323" w14:paraId="4CE53FE0" w14:textId="77777777" w:rsidTr="00F86A5F">
        <w:trPr>
          <w:trHeight w:val="576"/>
        </w:trPr>
        <w:tc>
          <w:tcPr>
            <w:tcW w:w="3148" w:type="pct"/>
            <w:vAlign w:val="center"/>
          </w:tcPr>
          <w:p w14:paraId="0EE329EC" w14:textId="77777777" w:rsidR="002E550F" w:rsidRPr="00171323" w:rsidRDefault="002E550F" w:rsidP="00F86A5F">
            <w:pPr>
              <w:contextualSpacing/>
              <w:rPr>
                <w:rFonts w:asciiTheme="minorBidi" w:hAnsiTheme="minorBidi" w:cstheme="minorBidi"/>
                <w:b/>
                <w:bCs/>
                <w:sz w:val="20"/>
                <w:szCs w:val="20"/>
                <w:lang w:val="fr-FR"/>
              </w:rPr>
            </w:pPr>
            <w:r w:rsidRPr="00171323">
              <w:rPr>
                <w:rFonts w:asciiTheme="minorBidi" w:hAnsiTheme="minorBidi"/>
                <w:b/>
                <w:sz w:val="20"/>
                <w:lang w:val="fr-FR"/>
              </w:rPr>
              <w:t>Conseil International de la Danse - CID</w:t>
            </w:r>
          </w:p>
        </w:tc>
        <w:tc>
          <w:tcPr>
            <w:tcW w:w="1010" w:type="pct"/>
            <w:vAlign w:val="center"/>
          </w:tcPr>
          <w:p w14:paraId="3BCC063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Francia</w:t>
            </w:r>
          </w:p>
        </w:tc>
        <w:tc>
          <w:tcPr>
            <w:tcW w:w="842" w:type="pct"/>
            <w:vAlign w:val="center"/>
          </w:tcPr>
          <w:p w14:paraId="1D186B9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NGO-90538</w:t>
            </w:r>
          </w:p>
        </w:tc>
      </w:tr>
      <w:tr w:rsidR="002E550F" w:rsidRPr="00171323" w14:paraId="10309493" w14:textId="77777777" w:rsidTr="00F86A5F">
        <w:trPr>
          <w:trHeight w:val="576"/>
        </w:trPr>
        <w:tc>
          <w:tcPr>
            <w:tcW w:w="3148" w:type="pct"/>
            <w:shd w:val="clear" w:color="auto" w:fill="DBE5F1" w:themeFill="accent1" w:themeFillTint="33"/>
            <w:vAlign w:val="center"/>
          </w:tcPr>
          <w:p w14:paraId="11D0460D"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Corporacion</w:t>
            </w:r>
            <w:proofErr w:type="spellEnd"/>
            <w:r w:rsidRPr="00171323">
              <w:rPr>
                <w:rFonts w:asciiTheme="minorBidi" w:hAnsiTheme="minorBidi"/>
                <w:b/>
                <w:sz w:val="20"/>
              </w:rPr>
              <w:t xml:space="preserve"> Cinemateca Municipal de Valledupar Cinemateca Vallenata</w:t>
            </w:r>
            <w:r w:rsidRPr="00171323">
              <w:rPr>
                <w:rFonts w:asciiTheme="minorBidi" w:hAnsiTheme="minorBidi"/>
                <w:sz w:val="20"/>
              </w:rPr>
              <w:br/>
              <w:t xml:space="preserve">Valledupar Municipal </w:t>
            </w:r>
            <w:proofErr w:type="spellStart"/>
            <w:r w:rsidRPr="00171323">
              <w:rPr>
                <w:rFonts w:asciiTheme="minorBidi" w:hAnsiTheme="minorBidi"/>
                <w:sz w:val="20"/>
              </w:rPr>
              <w:t>Cinematheque</w:t>
            </w:r>
            <w:proofErr w:type="spellEnd"/>
            <w:r w:rsidRPr="00171323">
              <w:rPr>
                <w:rFonts w:asciiTheme="minorBidi" w:hAnsiTheme="minorBidi"/>
                <w:sz w:val="20"/>
              </w:rPr>
              <w:t xml:space="preserve"> </w:t>
            </w:r>
            <w:proofErr w:type="spellStart"/>
            <w:r w:rsidRPr="00171323">
              <w:rPr>
                <w:rFonts w:asciiTheme="minorBidi" w:hAnsiTheme="minorBidi"/>
                <w:sz w:val="20"/>
              </w:rPr>
              <w:t>Corporation</w:t>
            </w:r>
            <w:proofErr w:type="spellEnd"/>
            <w:r w:rsidRPr="00171323">
              <w:rPr>
                <w:rFonts w:asciiTheme="minorBidi" w:hAnsiTheme="minorBidi"/>
                <w:sz w:val="20"/>
              </w:rPr>
              <w:t xml:space="preserve"> Cinemateca Vallenata</w:t>
            </w:r>
          </w:p>
        </w:tc>
        <w:tc>
          <w:tcPr>
            <w:tcW w:w="1010" w:type="pct"/>
            <w:shd w:val="clear" w:color="auto" w:fill="DBE5F1" w:themeFill="accent1" w:themeFillTint="33"/>
            <w:vAlign w:val="center"/>
          </w:tcPr>
          <w:p w14:paraId="7E1C13B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Colombia</w:t>
            </w:r>
          </w:p>
        </w:tc>
        <w:tc>
          <w:tcPr>
            <w:tcW w:w="842" w:type="pct"/>
            <w:shd w:val="clear" w:color="auto" w:fill="DBE5F1" w:themeFill="accent1" w:themeFillTint="33"/>
            <w:vAlign w:val="center"/>
          </w:tcPr>
          <w:p w14:paraId="162E7AF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NGO-90592</w:t>
            </w:r>
          </w:p>
        </w:tc>
      </w:tr>
      <w:tr w:rsidR="002E550F" w:rsidRPr="00171323" w14:paraId="0CFCF04D" w14:textId="77777777" w:rsidTr="00F86A5F">
        <w:trPr>
          <w:trHeight w:val="576"/>
        </w:trPr>
        <w:tc>
          <w:tcPr>
            <w:tcW w:w="3148" w:type="pct"/>
            <w:vAlign w:val="center"/>
          </w:tcPr>
          <w:p w14:paraId="32C09761"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Corporación </w:t>
            </w:r>
            <w:proofErr w:type="spellStart"/>
            <w:r w:rsidRPr="00171323">
              <w:rPr>
                <w:rFonts w:asciiTheme="minorBidi" w:hAnsiTheme="minorBidi"/>
                <w:b/>
                <w:sz w:val="20"/>
              </w:rPr>
              <w:t>Huiltur</w:t>
            </w:r>
            <w:proofErr w:type="spellEnd"/>
            <w:r w:rsidRPr="00171323">
              <w:rPr>
                <w:rFonts w:asciiTheme="minorBidi" w:hAnsiTheme="minorBidi"/>
                <w:b/>
                <w:sz w:val="20"/>
              </w:rPr>
              <w:t xml:space="preserve"> - </w:t>
            </w:r>
            <w:proofErr w:type="spellStart"/>
            <w:r w:rsidRPr="00171323">
              <w:rPr>
                <w:rFonts w:asciiTheme="minorBidi" w:hAnsiTheme="minorBidi"/>
                <w:b/>
                <w:sz w:val="20"/>
              </w:rPr>
              <w:t>CorpoHuiltur</w:t>
            </w:r>
            <w:proofErr w:type="spellEnd"/>
            <w:r w:rsidRPr="00171323">
              <w:rPr>
                <w:rFonts w:asciiTheme="minorBidi" w:hAnsiTheme="minorBidi"/>
                <w:sz w:val="20"/>
              </w:rPr>
              <w:br/>
            </w:r>
            <w:proofErr w:type="spellStart"/>
            <w:r w:rsidRPr="00171323">
              <w:rPr>
                <w:rFonts w:asciiTheme="minorBidi" w:hAnsiTheme="minorBidi"/>
                <w:sz w:val="20"/>
              </w:rPr>
              <w:t>Huiltur</w:t>
            </w:r>
            <w:proofErr w:type="spellEnd"/>
            <w:r w:rsidRPr="00171323">
              <w:rPr>
                <w:rFonts w:asciiTheme="minorBidi" w:hAnsiTheme="minorBidi"/>
                <w:sz w:val="20"/>
              </w:rPr>
              <w:t xml:space="preserve"> </w:t>
            </w:r>
            <w:proofErr w:type="spellStart"/>
            <w:r w:rsidRPr="00171323">
              <w:rPr>
                <w:rFonts w:asciiTheme="minorBidi" w:hAnsiTheme="minorBidi"/>
                <w:sz w:val="20"/>
              </w:rPr>
              <w:t>Corporation</w:t>
            </w:r>
            <w:proofErr w:type="spellEnd"/>
          </w:p>
        </w:tc>
        <w:tc>
          <w:tcPr>
            <w:tcW w:w="1010" w:type="pct"/>
            <w:vAlign w:val="center"/>
          </w:tcPr>
          <w:p w14:paraId="217C451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Colombia</w:t>
            </w:r>
          </w:p>
        </w:tc>
        <w:tc>
          <w:tcPr>
            <w:tcW w:w="842" w:type="pct"/>
            <w:vAlign w:val="center"/>
          </w:tcPr>
          <w:p w14:paraId="37748AC8"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NGO-90576</w:t>
            </w:r>
          </w:p>
        </w:tc>
      </w:tr>
      <w:tr w:rsidR="002E550F" w:rsidRPr="00171323" w14:paraId="4567E6B8" w14:textId="77777777" w:rsidTr="00F86A5F">
        <w:trPr>
          <w:trHeight w:val="576"/>
        </w:trPr>
        <w:tc>
          <w:tcPr>
            <w:tcW w:w="3148" w:type="pct"/>
            <w:shd w:val="clear" w:color="auto" w:fill="DBE5F1" w:themeFill="accent1" w:themeFillTint="33"/>
            <w:vAlign w:val="center"/>
          </w:tcPr>
          <w:p w14:paraId="5E9B850D"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Corporacion</w:t>
            </w:r>
            <w:proofErr w:type="spellEnd"/>
            <w:r w:rsidRPr="00171323">
              <w:rPr>
                <w:rFonts w:asciiTheme="minorBidi" w:hAnsiTheme="minorBidi"/>
                <w:b/>
                <w:sz w:val="20"/>
              </w:rPr>
              <w:t xml:space="preserve"> Memoria Austral</w:t>
            </w:r>
            <w:r w:rsidRPr="00171323">
              <w:rPr>
                <w:rFonts w:asciiTheme="minorBidi" w:hAnsiTheme="minorBidi"/>
                <w:sz w:val="20"/>
              </w:rPr>
              <w:br/>
              <w:t>Memoria Austral Association</w:t>
            </w:r>
          </w:p>
        </w:tc>
        <w:tc>
          <w:tcPr>
            <w:tcW w:w="1010" w:type="pct"/>
            <w:shd w:val="clear" w:color="auto" w:fill="DBE5F1" w:themeFill="accent1" w:themeFillTint="33"/>
            <w:vAlign w:val="center"/>
          </w:tcPr>
          <w:p w14:paraId="0F4C1DB7"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Chile</w:t>
            </w:r>
          </w:p>
        </w:tc>
        <w:tc>
          <w:tcPr>
            <w:tcW w:w="842" w:type="pct"/>
            <w:shd w:val="clear" w:color="auto" w:fill="DBE5F1" w:themeFill="accent1" w:themeFillTint="33"/>
            <w:vAlign w:val="center"/>
          </w:tcPr>
          <w:p w14:paraId="761CAEB9"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NGO-90586</w:t>
            </w:r>
          </w:p>
        </w:tc>
      </w:tr>
      <w:tr w:rsidR="002E550F" w:rsidRPr="00171323" w14:paraId="178CBBD3" w14:textId="77777777" w:rsidTr="00F86A5F">
        <w:trPr>
          <w:trHeight w:val="576"/>
        </w:trPr>
        <w:tc>
          <w:tcPr>
            <w:tcW w:w="3148" w:type="pct"/>
            <w:vAlign w:val="center"/>
          </w:tcPr>
          <w:p w14:paraId="3E0AEFE5" w14:textId="77777777" w:rsidR="002E550F" w:rsidRPr="00171323" w:rsidRDefault="002E550F" w:rsidP="00F86A5F">
            <w:pPr>
              <w:contextualSpacing/>
              <w:rPr>
                <w:rFonts w:asciiTheme="minorBidi" w:hAnsiTheme="minorBidi" w:cstheme="minorBidi"/>
                <w:b/>
                <w:bCs/>
                <w:sz w:val="20"/>
                <w:szCs w:val="20"/>
                <w:lang w:val="it-IT"/>
              </w:rPr>
            </w:pPr>
            <w:r w:rsidRPr="00171323">
              <w:rPr>
                <w:rFonts w:asciiTheme="minorBidi" w:hAnsiTheme="minorBidi"/>
                <w:b/>
                <w:sz w:val="20"/>
                <w:lang w:val="it-IT"/>
              </w:rPr>
              <w:t>Fondazione Santagata per l’Economia della Cultura ETS (ente del terzo settore)</w:t>
            </w:r>
            <w:r w:rsidRPr="00171323">
              <w:rPr>
                <w:rFonts w:asciiTheme="minorBidi" w:hAnsiTheme="minorBidi"/>
                <w:sz w:val="20"/>
                <w:lang w:val="it-IT"/>
              </w:rPr>
              <w:br/>
              <w:t>Fondazione Santagata for the Economics of Culture ETS (third sector entity)</w:t>
            </w:r>
          </w:p>
        </w:tc>
        <w:tc>
          <w:tcPr>
            <w:tcW w:w="1010" w:type="pct"/>
            <w:vAlign w:val="center"/>
          </w:tcPr>
          <w:p w14:paraId="44A1EFD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Italia</w:t>
            </w:r>
          </w:p>
        </w:tc>
        <w:tc>
          <w:tcPr>
            <w:tcW w:w="842" w:type="pct"/>
            <w:vAlign w:val="center"/>
          </w:tcPr>
          <w:p w14:paraId="137C030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NGO-90552</w:t>
            </w:r>
          </w:p>
        </w:tc>
      </w:tr>
      <w:tr w:rsidR="002E550F" w:rsidRPr="00171323" w14:paraId="79E179E8" w14:textId="77777777" w:rsidTr="00F86A5F">
        <w:trPr>
          <w:trHeight w:val="576"/>
        </w:trPr>
        <w:tc>
          <w:tcPr>
            <w:tcW w:w="3148" w:type="pct"/>
            <w:shd w:val="clear" w:color="auto" w:fill="DBE5F1" w:themeFill="accent1" w:themeFillTint="33"/>
            <w:vAlign w:val="center"/>
          </w:tcPr>
          <w:p w14:paraId="0D0E3B70"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t>Fundación Casa Taller</w:t>
            </w:r>
            <w:r w:rsidRPr="00171323">
              <w:rPr>
                <w:rFonts w:asciiTheme="minorBidi" w:hAnsiTheme="minorBidi"/>
                <w:sz w:val="20"/>
                <w:lang w:val="en-US"/>
              </w:rPr>
              <w:br/>
              <w:t>Workshop Home Foundation</w:t>
            </w:r>
          </w:p>
        </w:tc>
        <w:tc>
          <w:tcPr>
            <w:tcW w:w="1010" w:type="pct"/>
            <w:shd w:val="clear" w:color="auto" w:fill="DBE5F1" w:themeFill="accent1" w:themeFillTint="33"/>
            <w:vAlign w:val="center"/>
          </w:tcPr>
          <w:p w14:paraId="760AEA7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Panamá</w:t>
            </w:r>
          </w:p>
        </w:tc>
        <w:tc>
          <w:tcPr>
            <w:tcW w:w="842" w:type="pct"/>
            <w:shd w:val="clear" w:color="auto" w:fill="DBE5F1" w:themeFill="accent1" w:themeFillTint="33"/>
            <w:vAlign w:val="center"/>
          </w:tcPr>
          <w:p w14:paraId="1BD29D19"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NGO-90579</w:t>
            </w:r>
          </w:p>
        </w:tc>
      </w:tr>
      <w:tr w:rsidR="002E550F" w:rsidRPr="00171323" w14:paraId="69AE3553" w14:textId="77777777" w:rsidTr="00F86A5F">
        <w:trPr>
          <w:trHeight w:val="576"/>
        </w:trPr>
        <w:tc>
          <w:tcPr>
            <w:tcW w:w="3148" w:type="pct"/>
            <w:vAlign w:val="center"/>
          </w:tcPr>
          <w:p w14:paraId="5A0EB177"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Fundación La Sacha</w:t>
            </w:r>
            <w:r w:rsidRPr="00171323">
              <w:rPr>
                <w:rFonts w:asciiTheme="minorBidi" w:hAnsiTheme="minorBidi"/>
                <w:sz w:val="20"/>
              </w:rPr>
              <w:br/>
              <w:t>Sacha Foundation</w:t>
            </w:r>
          </w:p>
        </w:tc>
        <w:tc>
          <w:tcPr>
            <w:tcW w:w="1010" w:type="pct"/>
            <w:vAlign w:val="center"/>
          </w:tcPr>
          <w:p w14:paraId="00BB099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Argentina</w:t>
            </w:r>
          </w:p>
        </w:tc>
        <w:tc>
          <w:tcPr>
            <w:tcW w:w="842" w:type="pct"/>
            <w:vAlign w:val="center"/>
          </w:tcPr>
          <w:p w14:paraId="226A78E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NGO-90546</w:t>
            </w:r>
          </w:p>
        </w:tc>
      </w:tr>
      <w:tr w:rsidR="002E550F" w:rsidRPr="00171323" w14:paraId="05F443FD" w14:textId="77777777" w:rsidTr="00F86A5F">
        <w:trPr>
          <w:trHeight w:val="576"/>
        </w:trPr>
        <w:tc>
          <w:tcPr>
            <w:tcW w:w="3148" w:type="pct"/>
            <w:shd w:val="clear" w:color="auto" w:fill="DBE5F1" w:themeFill="accent1" w:themeFillTint="33"/>
            <w:vAlign w:val="center"/>
          </w:tcPr>
          <w:p w14:paraId="5B40A7F3"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Grenada</w:t>
            </w:r>
            <w:proofErr w:type="spellEnd"/>
            <w:r w:rsidRPr="00171323">
              <w:rPr>
                <w:rFonts w:asciiTheme="minorBidi" w:hAnsiTheme="minorBidi"/>
                <w:b/>
                <w:sz w:val="20"/>
              </w:rPr>
              <w:t xml:space="preserve"> National Trust</w:t>
            </w:r>
          </w:p>
        </w:tc>
        <w:tc>
          <w:tcPr>
            <w:tcW w:w="1010" w:type="pct"/>
            <w:shd w:val="clear" w:color="auto" w:fill="DBE5F1" w:themeFill="accent1" w:themeFillTint="33"/>
            <w:vAlign w:val="center"/>
          </w:tcPr>
          <w:p w14:paraId="5A7801E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Granada</w:t>
            </w:r>
          </w:p>
        </w:tc>
        <w:tc>
          <w:tcPr>
            <w:tcW w:w="842" w:type="pct"/>
            <w:shd w:val="clear" w:color="auto" w:fill="DBE5F1" w:themeFill="accent1" w:themeFillTint="33"/>
            <w:vAlign w:val="center"/>
          </w:tcPr>
          <w:p w14:paraId="48EEA31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NGO-90555</w:t>
            </w:r>
          </w:p>
        </w:tc>
      </w:tr>
      <w:tr w:rsidR="002E550F" w:rsidRPr="00171323" w14:paraId="43C02905" w14:textId="77777777" w:rsidTr="00F86A5F">
        <w:trPr>
          <w:trHeight w:val="576"/>
        </w:trPr>
        <w:tc>
          <w:tcPr>
            <w:tcW w:w="3148" w:type="pct"/>
            <w:vAlign w:val="center"/>
          </w:tcPr>
          <w:p w14:paraId="06E0FA16"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Heimilisiðnaðarfélag</w:t>
            </w:r>
            <w:proofErr w:type="spellEnd"/>
            <w:r w:rsidRPr="00171323">
              <w:rPr>
                <w:rFonts w:asciiTheme="minorBidi" w:hAnsiTheme="minorBidi"/>
                <w:b/>
                <w:sz w:val="20"/>
              </w:rPr>
              <w:t xml:space="preserve"> </w:t>
            </w:r>
            <w:proofErr w:type="spellStart"/>
            <w:r w:rsidRPr="00171323">
              <w:rPr>
                <w:rFonts w:asciiTheme="minorBidi" w:hAnsiTheme="minorBidi"/>
                <w:b/>
                <w:sz w:val="20"/>
              </w:rPr>
              <w:t>Íslands</w:t>
            </w:r>
            <w:proofErr w:type="spellEnd"/>
            <w:r w:rsidRPr="00171323">
              <w:rPr>
                <w:rFonts w:asciiTheme="minorBidi" w:hAnsiTheme="minorBidi"/>
                <w:sz w:val="20"/>
              </w:rPr>
              <w:br/>
            </w:r>
            <w:proofErr w:type="spellStart"/>
            <w:r w:rsidRPr="00171323">
              <w:rPr>
                <w:rFonts w:asciiTheme="minorBidi" w:hAnsiTheme="minorBidi"/>
                <w:sz w:val="20"/>
              </w:rPr>
              <w:t>Icelandic</w:t>
            </w:r>
            <w:proofErr w:type="spellEnd"/>
            <w:r w:rsidRPr="00171323">
              <w:rPr>
                <w:rFonts w:asciiTheme="minorBidi" w:hAnsiTheme="minorBidi"/>
                <w:sz w:val="20"/>
              </w:rPr>
              <w:t xml:space="preserve"> </w:t>
            </w:r>
            <w:proofErr w:type="spellStart"/>
            <w:r w:rsidRPr="00171323">
              <w:rPr>
                <w:rFonts w:asciiTheme="minorBidi" w:hAnsiTheme="minorBidi"/>
                <w:sz w:val="20"/>
              </w:rPr>
              <w:t>Handicraft</w:t>
            </w:r>
            <w:proofErr w:type="spellEnd"/>
            <w:r w:rsidRPr="00171323">
              <w:rPr>
                <w:rFonts w:asciiTheme="minorBidi" w:hAnsiTheme="minorBidi"/>
                <w:sz w:val="20"/>
              </w:rPr>
              <w:t xml:space="preserve"> Association</w:t>
            </w:r>
          </w:p>
        </w:tc>
        <w:tc>
          <w:tcPr>
            <w:tcW w:w="1010" w:type="pct"/>
            <w:vAlign w:val="center"/>
          </w:tcPr>
          <w:p w14:paraId="7FE6C1C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Islandia</w:t>
            </w:r>
          </w:p>
        </w:tc>
        <w:tc>
          <w:tcPr>
            <w:tcW w:w="842" w:type="pct"/>
            <w:vAlign w:val="center"/>
          </w:tcPr>
          <w:p w14:paraId="52A5F54B"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NGO-90533</w:t>
            </w:r>
          </w:p>
        </w:tc>
      </w:tr>
      <w:tr w:rsidR="002E550F" w:rsidRPr="00171323" w14:paraId="3196F40E" w14:textId="77777777" w:rsidTr="00F86A5F">
        <w:trPr>
          <w:trHeight w:val="576"/>
        </w:trPr>
        <w:tc>
          <w:tcPr>
            <w:tcW w:w="3148" w:type="pct"/>
            <w:shd w:val="clear" w:color="auto" w:fill="DBE5F1" w:themeFill="accent1" w:themeFillTint="33"/>
            <w:vAlign w:val="center"/>
          </w:tcPr>
          <w:p w14:paraId="3DF27870" w14:textId="77777777" w:rsidR="002E550F" w:rsidRPr="00171323" w:rsidRDefault="002E550F" w:rsidP="00F86A5F">
            <w:pPr>
              <w:contextualSpacing/>
              <w:rPr>
                <w:rFonts w:asciiTheme="minorBidi" w:hAnsiTheme="minorBidi" w:cstheme="minorBidi"/>
                <w:b/>
                <w:bCs/>
                <w:sz w:val="20"/>
                <w:szCs w:val="20"/>
                <w:lang w:val="pt-PT"/>
              </w:rPr>
            </w:pPr>
            <w:r w:rsidRPr="00171323">
              <w:rPr>
                <w:rFonts w:asciiTheme="minorBidi" w:hAnsiTheme="minorBidi"/>
                <w:b/>
                <w:sz w:val="20"/>
                <w:lang w:val="pt-PT"/>
              </w:rPr>
              <w:t>Iepé - Instituto de Pesquisa e Formação Indígena</w:t>
            </w:r>
            <w:r w:rsidRPr="00171323">
              <w:rPr>
                <w:rFonts w:asciiTheme="minorBidi" w:hAnsiTheme="minorBidi"/>
                <w:sz w:val="20"/>
                <w:lang w:val="pt-PT"/>
              </w:rPr>
              <w:br/>
              <w:t>Iepé - Indigenous Research and Training Institute</w:t>
            </w:r>
          </w:p>
        </w:tc>
        <w:tc>
          <w:tcPr>
            <w:tcW w:w="1010" w:type="pct"/>
            <w:shd w:val="clear" w:color="auto" w:fill="DBE5F1" w:themeFill="accent1" w:themeFillTint="33"/>
            <w:vAlign w:val="center"/>
          </w:tcPr>
          <w:p w14:paraId="1A032F7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Brasil</w:t>
            </w:r>
          </w:p>
        </w:tc>
        <w:tc>
          <w:tcPr>
            <w:tcW w:w="842" w:type="pct"/>
            <w:shd w:val="clear" w:color="auto" w:fill="DBE5F1" w:themeFill="accent1" w:themeFillTint="33"/>
            <w:vAlign w:val="center"/>
          </w:tcPr>
          <w:p w14:paraId="073FB1D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NGO-90584</w:t>
            </w:r>
          </w:p>
        </w:tc>
      </w:tr>
      <w:tr w:rsidR="002E550F" w:rsidRPr="00171323" w14:paraId="29D55892" w14:textId="77777777" w:rsidTr="00F86A5F">
        <w:trPr>
          <w:trHeight w:val="576"/>
        </w:trPr>
        <w:tc>
          <w:tcPr>
            <w:tcW w:w="3148" w:type="pct"/>
            <w:vAlign w:val="center"/>
          </w:tcPr>
          <w:p w14:paraId="071D7A3B" w14:textId="77777777" w:rsidR="002E550F" w:rsidRPr="00171323" w:rsidRDefault="002E550F" w:rsidP="00F86A5F">
            <w:pPr>
              <w:contextualSpacing/>
              <w:rPr>
                <w:rFonts w:asciiTheme="minorBidi" w:hAnsiTheme="minorBidi" w:cstheme="minorBidi"/>
                <w:b/>
                <w:bCs/>
                <w:sz w:val="20"/>
                <w:szCs w:val="20"/>
                <w:lang w:val="en-US"/>
              </w:rPr>
            </w:pPr>
            <w:proofErr w:type="spellStart"/>
            <w:r w:rsidRPr="00171323">
              <w:rPr>
                <w:rFonts w:asciiTheme="minorBidi" w:hAnsiTheme="minorBidi"/>
                <w:b/>
                <w:sz w:val="20"/>
                <w:lang w:val="en-US"/>
              </w:rPr>
              <w:t>Kadın</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ve</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Demokrasi</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Vakfı</w:t>
            </w:r>
            <w:proofErr w:type="spellEnd"/>
            <w:r w:rsidRPr="00171323">
              <w:rPr>
                <w:rFonts w:asciiTheme="minorBidi" w:hAnsiTheme="minorBidi"/>
                <w:b/>
                <w:sz w:val="20"/>
                <w:lang w:val="en-US"/>
              </w:rPr>
              <w:t xml:space="preserve"> (KADEM)</w:t>
            </w:r>
            <w:r w:rsidRPr="00171323">
              <w:rPr>
                <w:rFonts w:asciiTheme="minorBidi" w:hAnsiTheme="minorBidi"/>
                <w:sz w:val="20"/>
                <w:lang w:val="en-US"/>
              </w:rPr>
              <w:br/>
              <w:t>Women and Democracy Foundation (KADEM)</w:t>
            </w:r>
          </w:p>
        </w:tc>
        <w:tc>
          <w:tcPr>
            <w:tcW w:w="1010" w:type="pct"/>
            <w:vAlign w:val="center"/>
          </w:tcPr>
          <w:p w14:paraId="10E6E54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Türkiye</w:t>
            </w:r>
          </w:p>
        </w:tc>
        <w:tc>
          <w:tcPr>
            <w:tcW w:w="842" w:type="pct"/>
            <w:vAlign w:val="center"/>
          </w:tcPr>
          <w:p w14:paraId="04F799D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NGO-90557</w:t>
            </w:r>
          </w:p>
        </w:tc>
      </w:tr>
      <w:tr w:rsidR="002E550F" w:rsidRPr="00171323" w14:paraId="2FFFDC2C" w14:textId="77777777" w:rsidTr="00F86A5F">
        <w:trPr>
          <w:trHeight w:val="576"/>
        </w:trPr>
        <w:tc>
          <w:tcPr>
            <w:tcW w:w="3148" w:type="pct"/>
            <w:shd w:val="clear" w:color="auto" w:fill="DBE5F1" w:themeFill="accent1" w:themeFillTint="33"/>
            <w:vAlign w:val="center"/>
          </w:tcPr>
          <w:p w14:paraId="78B3AADC"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Kulturno</w:t>
            </w:r>
            <w:proofErr w:type="spellEnd"/>
            <w:r w:rsidRPr="00171323">
              <w:rPr>
                <w:rFonts w:asciiTheme="minorBidi" w:hAnsiTheme="minorBidi"/>
                <w:b/>
                <w:sz w:val="20"/>
              </w:rPr>
              <w:t xml:space="preserve"> </w:t>
            </w:r>
            <w:proofErr w:type="spellStart"/>
            <w:r w:rsidRPr="00171323">
              <w:rPr>
                <w:rFonts w:asciiTheme="minorBidi" w:hAnsiTheme="minorBidi"/>
                <w:b/>
                <w:sz w:val="20"/>
              </w:rPr>
              <w:t>Umjetničko</w:t>
            </w:r>
            <w:proofErr w:type="spellEnd"/>
            <w:r w:rsidRPr="00171323">
              <w:rPr>
                <w:rFonts w:asciiTheme="minorBidi" w:hAnsiTheme="minorBidi"/>
                <w:b/>
                <w:sz w:val="20"/>
              </w:rPr>
              <w:t xml:space="preserve"> </w:t>
            </w:r>
            <w:proofErr w:type="spellStart"/>
            <w:r w:rsidRPr="00171323">
              <w:rPr>
                <w:rFonts w:asciiTheme="minorBidi" w:hAnsiTheme="minorBidi"/>
                <w:b/>
                <w:sz w:val="20"/>
              </w:rPr>
              <w:t>Društvo</w:t>
            </w:r>
            <w:proofErr w:type="spellEnd"/>
            <w:r w:rsidRPr="00171323">
              <w:rPr>
                <w:rFonts w:asciiTheme="minorBidi" w:hAnsiTheme="minorBidi"/>
                <w:b/>
                <w:sz w:val="20"/>
              </w:rPr>
              <w:t xml:space="preserve"> ‘</w:t>
            </w:r>
            <w:proofErr w:type="spellStart"/>
            <w:r w:rsidRPr="00171323">
              <w:rPr>
                <w:rFonts w:asciiTheme="minorBidi" w:hAnsiTheme="minorBidi"/>
                <w:b/>
                <w:sz w:val="20"/>
              </w:rPr>
              <w:t>Puračić</w:t>
            </w:r>
            <w:proofErr w:type="spellEnd"/>
            <w:r w:rsidRPr="00171323">
              <w:rPr>
                <w:rFonts w:asciiTheme="minorBidi" w:hAnsiTheme="minorBidi"/>
                <w:b/>
                <w:sz w:val="20"/>
              </w:rPr>
              <w:t>’</w:t>
            </w:r>
            <w:r w:rsidRPr="00171323">
              <w:rPr>
                <w:rFonts w:asciiTheme="minorBidi" w:hAnsiTheme="minorBidi"/>
                <w:sz w:val="20"/>
              </w:rPr>
              <w:br/>
              <w:t xml:space="preserve">Cultural </w:t>
            </w:r>
            <w:proofErr w:type="spellStart"/>
            <w:r w:rsidRPr="00171323">
              <w:rPr>
                <w:rFonts w:asciiTheme="minorBidi" w:hAnsiTheme="minorBidi"/>
                <w:sz w:val="20"/>
              </w:rPr>
              <w:t>Artistic</w:t>
            </w:r>
            <w:proofErr w:type="spellEnd"/>
            <w:r w:rsidRPr="00171323">
              <w:rPr>
                <w:rFonts w:asciiTheme="minorBidi" w:hAnsiTheme="minorBidi"/>
                <w:sz w:val="20"/>
              </w:rPr>
              <w:t xml:space="preserve"> </w:t>
            </w:r>
            <w:proofErr w:type="spellStart"/>
            <w:r w:rsidRPr="00171323">
              <w:rPr>
                <w:rFonts w:asciiTheme="minorBidi" w:hAnsiTheme="minorBidi"/>
                <w:sz w:val="20"/>
              </w:rPr>
              <w:t>Association</w:t>
            </w:r>
            <w:proofErr w:type="spellEnd"/>
            <w:r w:rsidRPr="00171323">
              <w:rPr>
                <w:rFonts w:asciiTheme="minorBidi" w:hAnsiTheme="minorBidi"/>
                <w:sz w:val="20"/>
              </w:rPr>
              <w:t xml:space="preserve"> ‘</w:t>
            </w:r>
            <w:proofErr w:type="spellStart"/>
            <w:r w:rsidRPr="00171323">
              <w:rPr>
                <w:rFonts w:asciiTheme="minorBidi" w:hAnsiTheme="minorBidi"/>
                <w:sz w:val="20"/>
              </w:rPr>
              <w:t>Puračić</w:t>
            </w:r>
            <w:proofErr w:type="spellEnd"/>
            <w:r w:rsidRPr="00171323">
              <w:rPr>
                <w:rFonts w:asciiTheme="minorBidi" w:hAnsiTheme="minorBidi"/>
                <w:bCs/>
                <w:sz w:val="20"/>
              </w:rPr>
              <w:t>’</w:t>
            </w:r>
            <w:r w:rsidRPr="00171323">
              <w:rPr>
                <w:rFonts w:asciiTheme="minorBidi" w:hAnsiTheme="minorBidi"/>
                <w:sz w:val="20"/>
              </w:rPr>
              <w:t> </w:t>
            </w:r>
          </w:p>
        </w:tc>
        <w:tc>
          <w:tcPr>
            <w:tcW w:w="1010" w:type="pct"/>
            <w:shd w:val="clear" w:color="auto" w:fill="DBE5F1" w:themeFill="accent1" w:themeFillTint="33"/>
            <w:vAlign w:val="center"/>
          </w:tcPr>
          <w:p w14:paraId="1FAEA14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Bosnia y Herzegovina</w:t>
            </w:r>
          </w:p>
        </w:tc>
        <w:tc>
          <w:tcPr>
            <w:tcW w:w="842" w:type="pct"/>
            <w:shd w:val="clear" w:color="auto" w:fill="DBE5F1" w:themeFill="accent1" w:themeFillTint="33"/>
            <w:vAlign w:val="center"/>
          </w:tcPr>
          <w:p w14:paraId="096CDA5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NGO-90541</w:t>
            </w:r>
          </w:p>
        </w:tc>
      </w:tr>
      <w:tr w:rsidR="002E550F" w:rsidRPr="00171323" w14:paraId="173A4500" w14:textId="77777777" w:rsidTr="00F86A5F">
        <w:trPr>
          <w:trHeight w:val="576"/>
        </w:trPr>
        <w:tc>
          <w:tcPr>
            <w:tcW w:w="3148" w:type="pct"/>
            <w:vAlign w:val="center"/>
          </w:tcPr>
          <w:p w14:paraId="05AE44CD"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L’Œuvre</w:t>
            </w:r>
            <w:proofErr w:type="spellEnd"/>
            <w:r w:rsidRPr="00171323">
              <w:rPr>
                <w:rFonts w:asciiTheme="minorBidi" w:hAnsiTheme="minorBidi"/>
                <w:b/>
                <w:sz w:val="20"/>
              </w:rPr>
              <w:t xml:space="preserve"> </w:t>
            </w:r>
            <w:proofErr w:type="spellStart"/>
            <w:r w:rsidRPr="00171323">
              <w:rPr>
                <w:rFonts w:asciiTheme="minorBidi" w:hAnsiTheme="minorBidi"/>
                <w:b/>
                <w:sz w:val="20"/>
              </w:rPr>
              <w:t>d’Orient</w:t>
            </w:r>
            <w:proofErr w:type="spellEnd"/>
          </w:p>
        </w:tc>
        <w:tc>
          <w:tcPr>
            <w:tcW w:w="1010" w:type="pct"/>
            <w:vAlign w:val="center"/>
          </w:tcPr>
          <w:p w14:paraId="0992248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Francia</w:t>
            </w:r>
          </w:p>
        </w:tc>
        <w:tc>
          <w:tcPr>
            <w:tcW w:w="842" w:type="pct"/>
            <w:vAlign w:val="center"/>
          </w:tcPr>
          <w:p w14:paraId="468FD70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NGO-90548</w:t>
            </w:r>
          </w:p>
        </w:tc>
      </w:tr>
      <w:tr w:rsidR="002E550F" w:rsidRPr="00171323" w14:paraId="663E6065" w14:textId="77777777" w:rsidTr="00F86A5F">
        <w:trPr>
          <w:trHeight w:val="576"/>
        </w:trPr>
        <w:tc>
          <w:tcPr>
            <w:tcW w:w="3148" w:type="pct"/>
            <w:shd w:val="clear" w:color="auto" w:fill="DBE5F1" w:themeFill="accent1" w:themeFillTint="33"/>
            <w:vAlign w:val="center"/>
          </w:tcPr>
          <w:p w14:paraId="3175CFB7" w14:textId="77777777" w:rsidR="002E550F" w:rsidRPr="00171323" w:rsidRDefault="002E550F" w:rsidP="00F86A5F">
            <w:pPr>
              <w:contextualSpacing/>
              <w:rPr>
                <w:rFonts w:asciiTheme="minorBidi" w:hAnsiTheme="minorBidi" w:cstheme="minorBidi"/>
                <w:b/>
                <w:bCs/>
                <w:sz w:val="20"/>
                <w:szCs w:val="20"/>
                <w:lang w:val="fr-FR"/>
              </w:rPr>
            </w:pPr>
            <w:r w:rsidRPr="00171323">
              <w:rPr>
                <w:rFonts w:asciiTheme="minorBidi" w:hAnsiTheme="minorBidi"/>
                <w:b/>
                <w:sz w:val="20"/>
                <w:lang w:val="fr-FR"/>
              </w:rPr>
              <w:t>Office pour le Patrimoine Immatériel - OPCI-</w:t>
            </w:r>
            <w:proofErr w:type="spellStart"/>
            <w:r w:rsidRPr="00171323">
              <w:rPr>
                <w:rFonts w:asciiTheme="minorBidi" w:hAnsiTheme="minorBidi"/>
                <w:b/>
                <w:sz w:val="20"/>
                <w:lang w:val="fr-FR"/>
              </w:rPr>
              <w:t>Ethnodoc</w:t>
            </w:r>
            <w:proofErr w:type="spellEnd"/>
          </w:p>
        </w:tc>
        <w:tc>
          <w:tcPr>
            <w:tcW w:w="1010" w:type="pct"/>
            <w:shd w:val="clear" w:color="auto" w:fill="DBE5F1" w:themeFill="accent1" w:themeFillTint="33"/>
            <w:vAlign w:val="center"/>
          </w:tcPr>
          <w:p w14:paraId="0FAE7A99"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Francia</w:t>
            </w:r>
          </w:p>
        </w:tc>
        <w:tc>
          <w:tcPr>
            <w:tcW w:w="842" w:type="pct"/>
            <w:shd w:val="clear" w:color="auto" w:fill="DBE5F1" w:themeFill="accent1" w:themeFillTint="33"/>
            <w:vAlign w:val="center"/>
          </w:tcPr>
          <w:p w14:paraId="33A1EE4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NGO-90536</w:t>
            </w:r>
          </w:p>
        </w:tc>
      </w:tr>
      <w:tr w:rsidR="002E550F" w:rsidRPr="00171323" w14:paraId="026A5AE3" w14:textId="77777777" w:rsidTr="00F86A5F">
        <w:trPr>
          <w:trHeight w:val="576"/>
        </w:trPr>
        <w:tc>
          <w:tcPr>
            <w:tcW w:w="3148" w:type="pct"/>
            <w:vAlign w:val="center"/>
          </w:tcPr>
          <w:p w14:paraId="0204FDA7" w14:textId="77777777" w:rsidR="002E550F" w:rsidRPr="00171323" w:rsidRDefault="002E550F" w:rsidP="00F86A5F">
            <w:pPr>
              <w:contextualSpacing/>
              <w:rPr>
                <w:rFonts w:asciiTheme="minorBidi" w:hAnsiTheme="minorBidi" w:cstheme="minorBidi"/>
                <w:b/>
                <w:bCs/>
                <w:sz w:val="20"/>
                <w:szCs w:val="20"/>
                <w:lang w:val="pt-PT"/>
              </w:rPr>
            </w:pPr>
            <w:r w:rsidRPr="00171323">
              <w:rPr>
                <w:rFonts w:asciiTheme="minorBidi" w:hAnsiTheme="minorBidi"/>
                <w:b/>
                <w:sz w:val="20"/>
                <w:lang w:val="pt-PT"/>
              </w:rPr>
              <w:t>Operação Amazônia Nativa (OPAN)</w:t>
            </w:r>
            <w:r w:rsidRPr="00171323">
              <w:rPr>
                <w:rFonts w:asciiTheme="minorBidi" w:hAnsiTheme="minorBidi"/>
                <w:sz w:val="20"/>
                <w:lang w:val="pt-PT"/>
              </w:rPr>
              <w:br/>
              <w:t>Operation Amazon Native (OPAN)</w:t>
            </w:r>
          </w:p>
        </w:tc>
        <w:tc>
          <w:tcPr>
            <w:tcW w:w="1010" w:type="pct"/>
            <w:vAlign w:val="center"/>
          </w:tcPr>
          <w:p w14:paraId="1483A5EB"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Brasil</w:t>
            </w:r>
          </w:p>
        </w:tc>
        <w:tc>
          <w:tcPr>
            <w:tcW w:w="842" w:type="pct"/>
            <w:vAlign w:val="center"/>
          </w:tcPr>
          <w:p w14:paraId="1980EF5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NGO-90559</w:t>
            </w:r>
          </w:p>
        </w:tc>
      </w:tr>
      <w:tr w:rsidR="002E550F" w:rsidRPr="00171323" w14:paraId="1FC98B3B" w14:textId="77777777" w:rsidTr="00F86A5F">
        <w:trPr>
          <w:trHeight w:val="615"/>
        </w:trPr>
        <w:tc>
          <w:tcPr>
            <w:tcW w:w="3148" w:type="pct"/>
            <w:shd w:val="clear" w:color="auto" w:fill="DBE5F1" w:themeFill="accent1" w:themeFillTint="33"/>
            <w:vAlign w:val="center"/>
          </w:tcPr>
          <w:p w14:paraId="452D631F" w14:textId="77777777" w:rsidR="002E550F" w:rsidRPr="00B4133D" w:rsidRDefault="002E550F" w:rsidP="00F86A5F">
            <w:pPr>
              <w:contextualSpacing/>
              <w:rPr>
                <w:rFonts w:asciiTheme="minorBidi" w:hAnsiTheme="minorBidi" w:cstheme="minorBidi"/>
                <w:b/>
                <w:bCs/>
                <w:sz w:val="20"/>
                <w:szCs w:val="20"/>
                <w:lang w:val="en-GB"/>
              </w:rPr>
            </w:pPr>
            <w:r w:rsidRPr="00171323">
              <w:rPr>
                <w:rFonts w:asciiTheme="minorBidi" w:hAnsiTheme="minorBidi"/>
                <w:b/>
                <w:sz w:val="20"/>
                <w:lang w:val="it-IT"/>
              </w:rPr>
              <w:t>O.R.S. Osservatorio Ricerca Sociale. Centro studi, politiche e ricerche sociali - APS</w:t>
            </w:r>
            <w:r w:rsidRPr="00171323">
              <w:rPr>
                <w:rFonts w:asciiTheme="minorBidi" w:hAnsiTheme="minorBidi"/>
                <w:b/>
                <w:sz w:val="20"/>
                <w:lang w:val="it-IT"/>
              </w:rPr>
              <w:br/>
            </w:r>
            <w:r w:rsidRPr="00171323">
              <w:rPr>
                <w:rFonts w:asciiTheme="minorBidi" w:hAnsiTheme="minorBidi"/>
                <w:sz w:val="20"/>
                <w:lang w:val="it-IT"/>
              </w:rPr>
              <w:t xml:space="preserve">O.R.S. Social Research Observatory. </w:t>
            </w:r>
            <w:r w:rsidRPr="00B4133D">
              <w:rPr>
                <w:rFonts w:asciiTheme="minorBidi" w:hAnsiTheme="minorBidi"/>
                <w:sz w:val="20"/>
                <w:lang w:val="en-GB"/>
              </w:rPr>
              <w:t>Centre studies, policies and social researches - APS</w:t>
            </w:r>
          </w:p>
        </w:tc>
        <w:tc>
          <w:tcPr>
            <w:tcW w:w="1010" w:type="pct"/>
            <w:shd w:val="clear" w:color="auto" w:fill="DBE5F1" w:themeFill="accent1" w:themeFillTint="33"/>
            <w:vAlign w:val="center"/>
          </w:tcPr>
          <w:p w14:paraId="79407FF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Italia</w:t>
            </w:r>
          </w:p>
        </w:tc>
        <w:tc>
          <w:tcPr>
            <w:tcW w:w="842" w:type="pct"/>
            <w:shd w:val="clear" w:color="auto" w:fill="DBE5F1" w:themeFill="accent1" w:themeFillTint="33"/>
            <w:vAlign w:val="center"/>
          </w:tcPr>
          <w:p w14:paraId="3A7B1B0D"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NGO-90539</w:t>
            </w:r>
          </w:p>
        </w:tc>
      </w:tr>
      <w:tr w:rsidR="002E550F" w:rsidRPr="00171323" w14:paraId="468BD8D2" w14:textId="77777777" w:rsidTr="00F86A5F">
        <w:trPr>
          <w:trHeight w:val="615"/>
        </w:trPr>
        <w:tc>
          <w:tcPr>
            <w:tcW w:w="3148" w:type="pct"/>
            <w:shd w:val="clear" w:color="auto" w:fill="auto"/>
            <w:vAlign w:val="center"/>
          </w:tcPr>
          <w:p w14:paraId="11EF112E"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t>International Bobbin and Needle Lace Organisation</w:t>
            </w:r>
          </w:p>
        </w:tc>
        <w:tc>
          <w:tcPr>
            <w:tcW w:w="1010" w:type="pct"/>
            <w:shd w:val="clear" w:color="auto" w:fill="auto"/>
            <w:vAlign w:val="center"/>
          </w:tcPr>
          <w:p w14:paraId="1B72D4C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Francia</w:t>
            </w:r>
          </w:p>
        </w:tc>
        <w:tc>
          <w:tcPr>
            <w:tcW w:w="842" w:type="pct"/>
            <w:shd w:val="clear" w:color="auto" w:fill="auto"/>
            <w:vAlign w:val="center"/>
          </w:tcPr>
          <w:p w14:paraId="1F59793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NGO-90585</w:t>
            </w:r>
          </w:p>
        </w:tc>
      </w:tr>
      <w:tr w:rsidR="002E550F" w:rsidRPr="00171323" w14:paraId="4D0E49EE" w14:textId="77777777" w:rsidTr="00F86A5F">
        <w:trPr>
          <w:trHeight w:val="576"/>
        </w:trPr>
        <w:tc>
          <w:tcPr>
            <w:tcW w:w="3148" w:type="pct"/>
            <w:shd w:val="clear" w:color="auto" w:fill="DBE5F1" w:themeFill="accent1" w:themeFillTint="33"/>
            <w:vAlign w:val="center"/>
          </w:tcPr>
          <w:p w14:paraId="7E09BFB6"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Pearl </w:t>
            </w:r>
            <w:proofErr w:type="spellStart"/>
            <w:r w:rsidRPr="00171323">
              <w:rPr>
                <w:rFonts w:asciiTheme="minorBidi" w:hAnsiTheme="minorBidi"/>
                <w:b/>
                <w:sz w:val="20"/>
              </w:rPr>
              <w:t>Rhythm</w:t>
            </w:r>
            <w:proofErr w:type="spellEnd"/>
            <w:r w:rsidRPr="00171323">
              <w:rPr>
                <w:rFonts w:asciiTheme="minorBidi" w:hAnsiTheme="minorBidi"/>
                <w:b/>
                <w:sz w:val="20"/>
              </w:rPr>
              <w:t xml:space="preserve"> Foundation</w:t>
            </w:r>
          </w:p>
        </w:tc>
        <w:tc>
          <w:tcPr>
            <w:tcW w:w="1010" w:type="pct"/>
            <w:shd w:val="clear" w:color="auto" w:fill="DBE5F1" w:themeFill="accent1" w:themeFillTint="33"/>
            <w:vAlign w:val="center"/>
          </w:tcPr>
          <w:p w14:paraId="570C97A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Uganda</w:t>
            </w:r>
          </w:p>
        </w:tc>
        <w:tc>
          <w:tcPr>
            <w:tcW w:w="842" w:type="pct"/>
            <w:shd w:val="clear" w:color="auto" w:fill="DBE5F1" w:themeFill="accent1" w:themeFillTint="33"/>
            <w:vAlign w:val="center"/>
          </w:tcPr>
          <w:p w14:paraId="19221F0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NGO-90578</w:t>
            </w:r>
          </w:p>
        </w:tc>
      </w:tr>
      <w:tr w:rsidR="002E550F" w:rsidRPr="00171323" w14:paraId="79DBB595" w14:textId="77777777" w:rsidTr="00F86A5F">
        <w:trPr>
          <w:trHeight w:val="576"/>
        </w:trPr>
        <w:tc>
          <w:tcPr>
            <w:tcW w:w="3148" w:type="pct"/>
            <w:shd w:val="clear" w:color="auto" w:fill="auto"/>
            <w:vAlign w:val="center"/>
          </w:tcPr>
          <w:p w14:paraId="3837143E"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Persatuan</w:t>
            </w:r>
            <w:proofErr w:type="spellEnd"/>
            <w:r w:rsidRPr="00171323">
              <w:rPr>
                <w:rFonts w:asciiTheme="minorBidi" w:hAnsiTheme="minorBidi"/>
                <w:b/>
                <w:sz w:val="20"/>
              </w:rPr>
              <w:t xml:space="preserve"> </w:t>
            </w:r>
            <w:proofErr w:type="spellStart"/>
            <w:r w:rsidRPr="00171323">
              <w:rPr>
                <w:rFonts w:asciiTheme="minorBidi" w:hAnsiTheme="minorBidi"/>
                <w:b/>
                <w:sz w:val="20"/>
              </w:rPr>
              <w:t>Penulis</w:t>
            </w:r>
            <w:proofErr w:type="spellEnd"/>
            <w:r w:rsidRPr="00171323">
              <w:rPr>
                <w:rFonts w:asciiTheme="minorBidi" w:hAnsiTheme="minorBidi"/>
                <w:b/>
                <w:sz w:val="20"/>
              </w:rPr>
              <w:t xml:space="preserve"> </w:t>
            </w:r>
            <w:proofErr w:type="spellStart"/>
            <w:r w:rsidRPr="00171323">
              <w:rPr>
                <w:rFonts w:asciiTheme="minorBidi" w:hAnsiTheme="minorBidi"/>
                <w:b/>
                <w:sz w:val="20"/>
              </w:rPr>
              <w:t>Nasional</w:t>
            </w:r>
            <w:proofErr w:type="spellEnd"/>
            <w:r w:rsidRPr="00171323">
              <w:rPr>
                <w:rFonts w:asciiTheme="minorBidi" w:hAnsiTheme="minorBidi"/>
                <w:b/>
                <w:sz w:val="20"/>
              </w:rPr>
              <w:t xml:space="preserve"> Malaysia (PENA) </w:t>
            </w:r>
          </w:p>
          <w:p w14:paraId="34104DC4" w14:textId="77777777" w:rsidR="002E550F" w:rsidRPr="00171323" w:rsidRDefault="002E550F" w:rsidP="00F86A5F">
            <w:pPr>
              <w:contextualSpacing/>
              <w:rPr>
                <w:rFonts w:asciiTheme="minorBidi" w:hAnsiTheme="minorBidi" w:cstheme="minorBidi"/>
                <w:sz w:val="20"/>
                <w:szCs w:val="20"/>
              </w:rPr>
            </w:pPr>
            <w:proofErr w:type="spellStart"/>
            <w:r w:rsidRPr="00171323">
              <w:rPr>
                <w:rFonts w:asciiTheme="minorBidi" w:hAnsiTheme="minorBidi"/>
                <w:sz w:val="20"/>
              </w:rPr>
              <w:t>Malaysian</w:t>
            </w:r>
            <w:proofErr w:type="spellEnd"/>
            <w:r w:rsidRPr="00171323">
              <w:rPr>
                <w:rFonts w:asciiTheme="minorBidi" w:hAnsiTheme="minorBidi"/>
                <w:sz w:val="20"/>
              </w:rPr>
              <w:t xml:space="preserve"> National </w:t>
            </w:r>
            <w:proofErr w:type="spellStart"/>
            <w:r w:rsidRPr="00171323">
              <w:rPr>
                <w:rFonts w:asciiTheme="minorBidi" w:hAnsiTheme="minorBidi"/>
                <w:sz w:val="20"/>
              </w:rPr>
              <w:t>Writers</w:t>
            </w:r>
            <w:proofErr w:type="spellEnd"/>
            <w:r w:rsidRPr="00171323">
              <w:rPr>
                <w:rFonts w:asciiTheme="minorBidi" w:hAnsiTheme="minorBidi"/>
                <w:sz w:val="20"/>
              </w:rPr>
              <w:t xml:space="preserve"> </w:t>
            </w:r>
            <w:proofErr w:type="spellStart"/>
            <w:r w:rsidRPr="00171323">
              <w:rPr>
                <w:rFonts w:asciiTheme="minorBidi" w:hAnsiTheme="minorBidi"/>
                <w:sz w:val="20"/>
              </w:rPr>
              <w:t>Association</w:t>
            </w:r>
            <w:proofErr w:type="spellEnd"/>
            <w:r w:rsidRPr="00171323">
              <w:rPr>
                <w:rFonts w:asciiTheme="minorBidi" w:hAnsiTheme="minorBidi"/>
                <w:sz w:val="20"/>
              </w:rPr>
              <w:t xml:space="preserve"> (PENA)</w:t>
            </w:r>
          </w:p>
        </w:tc>
        <w:tc>
          <w:tcPr>
            <w:tcW w:w="1010" w:type="pct"/>
            <w:shd w:val="clear" w:color="auto" w:fill="auto"/>
            <w:vAlign w:val="center"/>
          </w:tcPr>
          <w:p w14:paraId="7084175D"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Malasia</w:t>
            </w:r>
          </w:p>
        </w:tc>
        <w:tc>
          <w:tcPr>
            <w:tcW w:w="842" w:type="pct"/>
            <w:shd w:val="clear" w:color="auto" w:fill="auto"/>
            <w:vAlign w:val="center"/>
          </w:tcPr>
          <w:p w14:paraId="16814FB6" w14:textId="77777777" w:rsidR="002E550F" w:rsidRPr="00171323" w:rsidRDefault="002E550F" w:rsidP="00F86A5F">
            <w:pPr>
              <w:pStyle w:val="Titre9"/>
              <w:jc w:val="center"/>
              <w:rPr>
                <w:rFonts w:asciiTheme="minorBidi" w:hAnsiTheme="minorBidi" w:cstheme="minorBidi"/>
                <w:i w:val="0"/>
                <w:iCs w:val="0"/>
                <w:sz w:val="20"/>
                <w:szCs w:val="20"/>
              </w:rPr>
            </w:pPr>
            <w:r w:rsidRPr="00171323">
              <w:rPr>
                <w:rFonts w:asciiTheme="minorBidi" w:hAnsiTheme="minorBidi"/>
                <w:i w:val="0"/>
                <w:sz w:val="20"/>
              </w:rPr>
              <w:t>NGO-90587</w:t>
            </w:r>
          </w:p>
        </w:tc>
      </w:tr>
      <w:tr w:rsidR="002E550F" w:rsidRPr="00171323" w14:paraId="161206BA" w14:textId="77777777" w:rsidTr="00F86A5F">
        <w:trPr>
          <w:trHeight w:val="576"/>
        </w:trPr>
        <w:tc>
          <w:tcPr>
            <w:tcW w:w="3148" w:type="pct"/>
            <w:shd w:val="clear" w:color="auto" w:fill="DBE5F1" w:themeFill="accent1" w:themeFillTint="33"/>
            <w:vAlign w:val="center"/>
          </w:tcPr>
          <w:p w14:paraId="7CD2055E" w14:textId="77777777" w:rsidR="002E550F" w:rsidRPr="00171323" w:rsidRDefault="002E550F" w:rsidP="00F86A5F">
            <w:pPr>
              <w:contextualSpacing/>
              <w:rPr>
                <w:rFonts w:asciiTheme="minorBidi" w:hAnsiTheme="minorBidi" w:cstheme="minorBidi"/>
                <w:sz w:val="20"/>
                <w:szCs w:val="20"/>
                <w:lang w:val="en-US"/>
              </w:rPr>
            </w:pPr>
            <w:proofErr w:type="spellStart"/>
            <w:r w:rsidRPr="00171323">
              <w:rPr>
                <w:rFonts w:asciiTheme="minorBidi" w:hAnsiTheme="minorBidi"/>
                <w:b/>
                <w:sz w:val="20"/>
                <w:lang w:val="en-US"/>
              </w:rPr>
              <w:t>Pertubuhan</w:t>
            </w:r>
            <w:proofErr w:type="spellEnd"/>
            <w:r w:rsidRPr="00171323">
              <w:rPr>
                <w:rFonts w:asciiTheme="minorBidi" w:hAnsiTheme="minorBidi"/>
                <w:b/>
                <w:sz w:val="20"/>
                <w:lang w:val="en-US"/>
              </w:rPr>
              <w:t xml:space="preserve"> Kraft Malaysia (</w:t>
            </w:r>
            <w:proofErr w:type="spellStart"/>
            <w:r w:rsidRPr="00171323">
              <w:rPr>
                <w:rFonts w:asciiTheme="minorBidi" w:hAnsiTheme="minorBidi"/>
                <w:b/>
                <w:sz w:val="20"/>
                <w:lang w:val="en-US"/>
              </w:rPr>
              <w:t>Dikenali</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Sebagai</w:t>
            </w:r>
            <w:proofErr w:type="spellEnd"/>
            <w:r w:rsidRPr="00171323">
              <w:rPr>
                <w:rFonts w:asciiTheme="minorBidi" w:hAnsiTheme="minorBidi"/>
                <w:b/>
                <w:sz w:val="20"/>
                <w:lang w:val="en-US"/>
              </w:rPr>
              <w:t xml:space="preserve"> Malaysian Craft Council)</w:t>
            </w:r>
            <w:r w:rsidRPr="00171323">
              <w:rPr>
                <w:rFonts w:asciiTheme="minorBidi" w:hAnsiTheme="minorBidi"/>
                <w:sz w:val="20"/>
                <w:lang w:val="en-US"/>
              </w:rPr>
              <w:br/>
              <w:t>Malaysian Craft Council</w:t>
            </w:r>
          </w:p>
        </w:tc>
        <w:tc>
          <w:tcPr>
            <w:tcW w:w="1010" w:type="pct"/>
            <w:shd w:val="clear" w:color="auto" w:fill="DBE5F1" w:themeFill="accent1" w:themeFillTint="33"/>
            <w:vAlign w:val="center"/>
          </w:tcPr>
          <w:p w14:paraId="2024EB4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Malasia</w:t>
            </w:r>
          </w:p>
        </w:tc>
        <w:tc>
          <w:tcPr>
            <w:tcW w:w="842" w:type="pct"/>
            <w:shd w:val="clear" w:color="auto" w:fill="DBE5F1" w:themeFill="accent1" w:themeFillTint="33"/>
            <w:vAlign w:val="center"/>
          </w:tcPr>
          <w:p w14:paraId="4361B2B8"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NGO-90531</w:t>
            </w:r>
          </w:p>
        </w:tc>
      </w:tr>
      <w:tr w:rsidR="002E550F" w:rsidRPr="00171323" w14:paraId="7DC60AF8" w14:textId="77777777" w:rsidTr="00F86A5F">
        <w:trPr>
          <w:trHeight w:val="576"/>
        </w:trPr>
        <w:tc>
          <w:tcPr>
            <w:tcW w:w="3148" w:type="pct"/>
            <w:shd w:val="clear" w:color="auto" w:fill="auto"/>
            <w:vAlign w:val="center"/>
          </w:tcPr>
          <w:p w14:paraId="4C98C4CB" w14:textId="77777777" w:rsidR="002E550F" w:rsidRPr="00171323" w:rsidRDefault="002E550F" w:rsidP="00F86A5F">
            <w:pPr>
              <w:contextualSpacing/>
              <w:rPr>
                <w:rFonts w:asciiTheme="minorBidi" w:hAnsiTheme="minorBidi" w:cstheme="minorBidi"/>
                <w:sz w:val="20"/>
                <w:szCs w:val="20"/>
                <w:lang w:val="en-US"/>
              </w:rPr>
            </w:pPr>
            <w:r w:rsidRPr="00171323">
              <w:rPr>
                <w:rFonts w:asciiTheme="minorBidi" w:hAnsiTheme="minorBidi"/>
                <w:b/>
                <w:sz w:val="20"/>
                <w:lang w:val="en-US"/>
              </w:rPr>
              <w:t xml:space="preserve">Pusat </w:t>
            </w:r>
            <w:proofErr w:type="spellStart"/>
            <w:r w:rsidRPr="00171323">
              <w:rPr>
                <w:rFonts w:asciiTheme="minorBidi" w:hAnsiTheme="minorBidi"/>
                <w:b/>
                <w:sz w:val="20"/>
                <w:lang w:val="en-US"/>
              </w:rPr>
              <w:t>Budaya</w:t>
            </w:r>
            <w:proofErr w:type="spellEnd"/>
            <w:r w:rsidRPr="00171323">
              <w:rPr>
                <w:rFonts w:asciiTheme="minorBidi" w:hAnsiTheme="minorBidi"/>
                <w:b/>
                <w:sz w:val="20"/>
                <w:lang w:val="en-US"/>
              </w:rPr>
              <w:t xml:space="preserve"> Pusaka SDN. BHD</w:t>
            </w:r>
            <w:r w:rsidRPr="00171323">
              <w:rPr>
                <w:rFonts w:asciiTheme="minorBidi" w:hAnsiTheme="minorBidi"/>
                <w:sz w:val="20"/>
                <w:lang w:val="en-US"/>
              </w:rPr>
              <w:br/>
              <w:t>PUSAKA</w:t>
            </w:r>
          </w:p>
        </w:tc>
        <w:tc>
          <w:tcPr>
            <w:tcW w:w="1010" w:type="pct"/>
            <w:shd w:val="clear" w:color="auto" w:fill="auto"/>
            <w:vAlign w:val="center"/>
          </w:tcPr>
          <w:p w14:paraId="1BC2749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Malasia</w:t>
            </w:r>
          </w:p>
        </w:tc>
        <w:tc>
          <w:tcPr>
            <w:tcW w:w="842" w:type="pct"/>
            <w:shd w:val="clear" w:color="auto" w:fill="auto"/>
            <w:vAlign w:val="center"/>
          </w:tcPr>
          <w:p w14:paraId="0DFEA9D5"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NGO-90532</w:t>
            </w:r>
          </w:p>
        </w:tc>
      </w:tr>
      <w:tr w:rsidR="002E550F" w:rsidRPr="00171323" w14:paraId="4F60E76F" w14:textId="77777777" w:rsidTr="00F86A5F">
        <w:trPr>
          <w:trHeight w:val="576"/>
        </w:trPr>
        <w:tc>
          <w:tcPr>
            <w:tcW w:w="3148" w:type="pct"/>
            <w:shd w:val="clear" w:color="auto" w:fill="DBE5F1" w:themeFill="accent1" w:themeFillTint="33"/>
            <w:vAlign w:val="center"/>
          </w:tcPr>
          <w:p w14:paraId="319FCDF2"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lastRenderedPageBreak/>
              <w:t>International Repertory of Music Literature</w:t>
            </w:r>
          </w:p>
        </w:tc>
        <w:tc>
          <w:tcPr>
            <w:tcW w:w="1010" w:type="pct"/>
            <w:shd w:val="clear" w:color="auto" w:fill="DBE5F1" w:themeFill="accent1" w:themeFillTint="33"/>
            <w:vAlign w:val="center"/>
          </w:tcPr>
          <w:p w14:paraId="5AAC8E82"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Estados Unidos de América</w:t>
            </w:r>
          </w:p>
        </w:tc>
        <w:tc>
          <w:tcPr>
            <w:tcW w:w="842" w:type="pct"/>
            <w:shd w:val="clear" w:color="auto" w:fill="DBE5F1" w:themeFill="accent1" w:themeFillTint="33"/>
            <w:vAlign w:val="center"/>
          </w:tcPr>
          <w:p w14:paraId="28E40A0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NGO-90527</w:t>
            </w:r>
          </w:p>
        </w:tc>
      </w:tr>
      <w:tr w:rsidR="002E550F" w:rsidRPr="00171323" w14:paraId="7C850019" w14:textId="77777777" w:rsidTr="00F86A5F">
        <w:trPr>
          <w:trHeight w:val="480"/>
        </w:trPr>
        <w:tc>
          <w:tcPr>
            <w:tcW w:w="3148" w:type="pct"/>
            <w:shd w:val="clear" w:color="auto" w:fill="auto"/>
            <w:vAlign w:val="center"/>
          </w:tcPr>
          <w:p w14:paraId="539B7F11"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Society</w:t>
            </w:r>
            <w:proofErr w:type="spellEnd"/>
            <w:r w:rsidRPr="00171323">
              <w:rPr>
                <w:rFonts w:asciiTheme="minorBidi" w:hAnsiTheme="minorBidi"/>
                <w:b/>
                <w:sz w:val="20"/>
              </w:rPr>
              <w:t xml:space="preserve"> of Native Nations</w:t>
            </w:r>
          </w:p>
        </w:tc>
        <w:tc>
          <w:tcPr>
            <w:tcW w:w="1010" w:type="pct"/>
            <w:shd w:val="clear" w:color="auto" w:fill="auto"/>
            <w:vAlign w:val="center"/>
          </w:tcPr>
          <w:p w14:paraId="0F667EA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Estados Unidos de América</w:t>
            </w:r>
          </w:p>
        </w:tc>
        <w:tc>
          <w:tcPr>
            <w:tcW w:w="842" w:type="pct"/>
            <w:shd w:val="clear" w:color="auto" w:fill="auto"/>
            <w:vAlign w:val="center"/>
          </w:tcPr>
          <w:p w14:paraId="6A1681F8"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NGO-90596</w:t>
            </w:r>
          </w:p>
        </w:tc>
      </w:tr>
      <w:tr w:rsidR="002E550F" w:rsidRPr="00171323" w14:paraId="5E9AE81A" w14:textId="77777777" w:rsidTr="00F86A5F">
        <w:trPr>
          <w:trHeight w:val="576"/>
        </w:trPr>
        <w:tc>
          <w:tcPr>
            <w:tcW w:w="3148" w:type="pct"/>
            <w:shd w:val="clear" w:color="auto" w:fill="DBE5F1" w:themeFill="accent1" w:themeFillTint="33"/>
            <w:vAlign w:val="center"/>
          </w:tcPr>
          <w:p w14:paraId="1561CCB3"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 xml:space="preserve">Sri </w:t>
            </w:r>
            <w:proofErr w:type="spellStart"/>
            <w:r w:rsidRPr="00171323">
              <w:rPr>
                <w:rFonts w:asciiTheme="minorBidi" w:hAnsiTheme="minorBidi"/>
                <w:b/>
                <w:sz w:val="20"/>
              </w:rPr>
              <w:t>Idagunji</w:t>
            </w:r>
            <w:proofErr w:type="spellEnd"/>
            <w:r w:rsidRPr="00171323">
              <w:rPr>
                <w:rFonts w:asciiTheme="minorBidi" w:hAnsiTheme="minorBidi"/>
                <w:b/>
                <w:sz w:val="20"/>
              </w:rPr>
              <w:t xml:space="preserve"> </w:t>
            </w:r>
            <w:proofErr w:type="spellStart"/>
            <w:r w:rsidRPr="00171323">
              <w:rPr>
                <w:rFonts w:asciiTheme="minorBidi" w:hAnsiTheme="minorBidi"/>
                <w:b/>
                <w:sz w:val="20"/>
              </w:rPr>
              <w:t>Mahaganapati</w:t>
            </w:r>
            <w:proofErr w:type="spellEnd"/>
            <w:r w:rsidRPr="00171323">
              <w:rPr>
                <w:rFonts w:asciiTheme="minorBidi" w:hAnsiTheme="minorBidi"/>
                <w:b/>
                <w:sz w:val="20"/>
              </w:rPr>
              <w:t xml:space="preserve"> </w:t>
            </w:r>
            <w:proofErr w:type="spellStart"/>
            <w:r w:rsidRPr="00171323">
              <w:rPr>
                <w:rFonts w:asciiTheme="minorBidi" w:hAnsiTheme="minorBidi"/>
                <w:b/>
                <w:sz w:val="20"/>
              </w:rPr>
              <w:t>Yakshagana</w:t>
            </w:r>
            <w:proofErr w:type="spellEnd"/>
            <w:r w:rsidRPr="00171323">
              <w:rPr>
                <w:rFonts w:asciiTheme="minorBidi" w:hAnsiTheme="minorBidi"/>
                <w:b/>
                <w:sz w:val="20"/>
              </w:rPr>
              <w:t xml:space="preserve"> </w:t>
            </w:r>
            <w:proofErr w:type="spellStart"/>
            <w:r w:rsidRPr="00171323">
              <w:rPr>
                <w:rFonts w:asciiTheme="minorBidi" w:hAnsiTheme="minorBidi"/>
                <w:b/>
                <w:sz w:val="20"/>
              </w:rPr>
              <w:t>Mandali</w:t>
            </w:r>
            <w:proofErr w:type="spellEnd"/>
            <w:r w:rsidRPr="00171323">
              <w:rPr>
                <w:rFonts w:asciiTheme="minorBidi" w:hAnsiTheme="minorBidi"/>
                <w:b/>
                <w:sz w:val="20"/>
              </w:rPr>
              <w:t xml:space="preserve">, </w:t>
            </w:r>
            <w:proofErr w:type="spellStart"/>
            <w:r w:rsidRPr="00171323">
              <w:rPr>
                <w:rFonts w:asciiTheme="minorBidi" w:hAnsiTheme="minorBidi"/>
                <w:b/>
                <w:sz w:val="20"/>
              </w:rPr>
              <w:t>Keremane</w:t>
            </w:r>
            <w:proofErr w:type="spellEnd"/>
            <w:r w:rsidRPr="00171323">
              <w:rPr>
                <w:rFonts w:asciiTheme="minorBidi" w:hAnsiTheme="minorBidi"/>
                <w:b/>
                <w:sz w:val="20"/>
              </w:rPr>
              <w:t xml:space="preserve"> ®</w:t>
            </w:r>
          </w:p>
        </w:tc>
        <w:tc>
          <w:tcPr>
            <w:tcW w:w="1010" w:type="pct"/>
            <w:shd w:val="clear" w:color="auto" w:fill="DBE5F1" w:themeFill="accent1" w:themeFillTint="33"/>
            <w:vAlign w:val="center"/>
          </w:tcPr>
          <w:p w14:paraId="63F6AE3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India</w:t>
            </w:r>
          </w:p>
        </w:tc>
        <w:tc>
          <w:tcPr>
            <w:tcW w:w="842" w:type="pct"/>
            <w:shd w:val="clear" w:color="auto" w:fill="DBE5F1" w:themeFill="accent1" w:themeFillTint="33"/>
            <w:vAlign w:val="center"/>
          </w:tcPr>
          <w:p w14:paraId="09856C5D"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NGO-90568</w:t>
            </w:r>
          </w:p>
        </w:tc>
      </w:tr>
      <w:tr w:rsidR="002E550F" w:rsidRPr="00171323" w14:paraId="0C9EAED0" w14:textId="77777777" w:rsidTr="00F86A5F">
        <w:trPr>
          <w:trHeight w:val="576"/>
        </w:trPr>
        <w:tc>
          <w:tcPr>
            <w:tcW w:w="3148" w:type="pct"/>
            <w:shd w:val="clear" w:color="auto" w:fill="auto"/>
            <w:vAlign w:val="center"/>
          </w:tcPr>
          <w:p w14:paraId="77C70FC0"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t xml:space="preserve">Svenska </w:t>
            </w:r>
            <w:proofErr w:type="spellStart"/>
            <w:r w:rsidRPr="00171323">
              <w:rPr>
                <w:rFonts w:asciiTheme="minorBidi" w:hAnsiTheme="minorBidi"/>
                <w:b/>
                <w:sz w:val="20"/>
                <w:lang w:val="en-US"/>
              </w:rPr>
              <w:t>Hemslöjdsöreningarnas</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lang w:val="en-US"/>
              </w:rPr>
              <w:t>Riksförbund</w:t>
            </w:r>
            <w:proofErr w:type="spellEnd"/>
            <w:r w:rsidRPr="00171323">
              <w:rPr>
                <w:rFonts w:asciiTheme="minorBidi" w:hAnsiTheme="minorBidi"/>
                <w:sz w:val="20"/>
                <w:lang w:val="en-US"/>
              </w:rPr>
              <w:br/>
              <w:t>National Association of Swedish Handicraft Societies</w:t>
            </w:r>
          </w:p>
        </w:tc>
        <w:tc>
          <w:tcPr>
            <w:tcW w:w="1010" w:type="pct"/>
            <w:shd w:val="clear" w:color="auto" w:fill="auto"/>
            <w:vAlign w:val="center"/>
          </w:tcPr>
          <w:p w14:paraId="2AB41E94"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Suecia</w:t>
            </w:r>
          </w:p>
        </w:tc>
        <w:tc>
          <w:tcPr>
            <w:tcW w:w="842" w:type="pct"/>
            <w:shd w:val="clear" w:color="auto" w:fill="auto"/>
            <w:vAlign w:val="center"/>
          </w:tcPr>
          <w:p w14:paraId="5B05E7E9"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NGO-90544</w:t>
            </w:r>
          </w:p>
        </w:tc>
      </w:tr>
      <w:tr w:rsidR="002E550F" w:rsidRPr="00171323" w14:paraId="5854E49C" w14:textId="77777777" w:rsidTr="00F86A5F">
        <w:trPr>
          <w:trHeight w:val="576"/>
        </w:trPr>
        <w:tc>
          <w:tcPr>
            <w:tcW w:w="3148" w:type="pct"/>
            <w:shd w:val="clear" w:color="auto" w:fill="DBE5F1" w:themeFill="accent1" w:themeFillTint="33"/>
            <w:vAlign w:val="center"/>
          </w:tcPr>
          <w:p w14:paraId="3EA51AE2"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Dragon Dance</w:t>
            </w:r>
          </w:p>
        </w:tc>
        <w:tc>
          <w:tcPr>
            <w:tcW w:w="1010" w:type="pct"/>
            <w:shd w:val="clear" w:color="auto" w:fill="DBE5F1" w:themeFill="accent1" w:themeFillTint="33"/>
            <w:vAlign w:val="center"/>
          </w:tcPr>
          <w:p w14:paraId="5F052837"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Canadá</w:t>
            </w:r>
          </w:p>
        </w:tc>
        <w:tc>
          <w:tcPr>
            <w:tcW w:w="842" w:type="pct"/>
            <w:shd w:val="clear" w:color="auto" w:fill="DBE5F1" w:themeFill="accent1" w:themeFillTint="33"/>
            <w:vAlign w:val="center"/>
          </w:tcPr>
          <w:p w14:paraId="63E4B732"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NGO-90549</w:t>
            </w:r>
          </w:p>
        </w:tc>
      </w:tr>
      <w:tr w:rsidR="002E550F" w:rsidRPr="00171323" w14:paraId="6CBFAD4D" w14:textId="77777777" w:rsidTr="00F86A5F">
        <w:trPr>
          <w:trHeight w:val="576"/>
        </w:trPr>
        <w:tc>
          <w:tcPr>
            <w:tcW w:w="3148" w:type="pct"/>
            <w:shd w:val="clear" w:color="auto" w:fill="auto"/>
            <w:vAlign w:val="center"/>
          </w:tcPr>
          <w:p w14:paraId="4BD320A5"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t>Traditional Arts and Culture Scotland (TRACS)</w:t>
            </w:r>
          </w:p>
        </w:tc>
        <w:tc>
          <w:tcPr>
            <w:tcW w:w="1010" w:type="pct"/>
            <w:shd w:val="clear" w:color="auto" w:fill="auto"/>
            <w:vAlign w:val="center"/>
          </w:tcPr>
          <w:p w14:paraId="7D9829F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Reino Unido de Gran Bretaña e Irlanda del Norte</w:t>
            </w:r>
          </w:p>
        </w:tc>
        <w:tc>
          <w:tcPr>
            <w:tcW w:w="842" w:type="pct"/>
            <w:shd w:val="clear" w:color="auto" w:fill="auto"/>
            <w:vAlign w:val="center"/>
          </w:tcPr>
          <w:p w14:paraId="518EC24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NGO-90561</w:t>
            </w:r>
          </w:p>
        </w:tc>
      </w:tr>
      <w:tr w:rsidR="002E550F" w:rsidRPr="00171323" w14:paraId="4839EDB1" w14:textId="77777777" w:rsidTr="00F86A5F">
        <w:trPr>
          <w:trHeight w:val="576"/>
        </w:trPr>
        <w:tc>
          <w:tcPr>
            <w:tcW w:w="3148" w:type="pct"/>
            <w:shd w:val="clear" w:color="auto" w:fill="DBE5F1" w:themeFill="accent1" w:themeFillTint="33"/>
            <w:vAlign w:val="center"/>
          </w:tcPr>
          <w:p w14:paraId="106853D1"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Türkischer</w:t>
            </w:r>
            <w:proofErr w:type="spellEnd"/>
            <w:r w:rsidRPr="00171323">
              <w:rPr>
                <w:rFonts w:asciiTheme="minorBidi" w:hAnsiTheme="minorBidi"/>
                <w:b/>
                <w:sz w:val="20"/>
              </w:rPr>
              <w:t xml:space="preserve"> </w:t>
            </w:r>
            <w:proofErr w:type="spellStart"/>
            <w:r w:rsidRPr="00171323">
              <w:rPr>
                <w:rFonts w:asciiTheme="minorBidi" w:hAnsiTheme="minorBidi"/>
                <w:b/>
                <w:sz w:val="20"/>
              </w:rPr>
              <w:t>Klassischer</w:t>
            </w:r>
            <w:proofErr w:type="spellEnd"/>
            <w:r w:rsidRPr="00171323">
              <w:rPr>
                <w:rFonts w:asciiTheme="minorBidi" w:hAnsiTheme="minorBidi"/>
                <w:b/>
                <w:sz w:val="20"/>
              </w:rPr>
              <w:t xml:space="preserve"> </w:t>
            </w:r>
            <w:proofErr w:type="spellStart"/>
            <w:r w:rsidRPr="00171323">
              <w:rPr>
                <w:rFonts w:asciiTheme="minorBidi" w:hAnsiTheme="minorBidi"/>
                <w:b/>
                <w:sz w:val="20"/>
              </w:rPr>
              <w:t>Choir</w:t>
            </w:r>
            <w:proofErr w:type="spellEnd"/>
            <w:r w:rsidRPr="00171323">
              <w:rPr>
                <w:rFonts w:asciiTheme="minorBidi" w:hAnsiTheme="minorBidi"/>
                <w:b/>
                <w:sz w:val="20"/>
              </w:rPr>
              <w:t xml:space="preserve"> </w:t>
            </w:r>
            <w:proofErr w:type="spellStart"/>
            <w:r w:rsidRPr="00171323">
              <w:rPr>
                <w:rFonts w:asciiTheme="minorBidi" w:hAnsiTheme="minorBidi"/>
                <w:b/>
                <w:sz w:val="20"/>
              </w:rPr>
              <w:t>Association</w:t>
            </w:r>
            <w:proofErr w:type="spellEnd"/>
            <w:r w:rsidRPr="00171323">
              <w:rPr>
                <w:rFonts w:asciiTheme="minorBidi" w:hAnsiTheme="minorBidi"/>
                <w:b/>
                <w:sz w:val="20"/>
              </w:rPr>
              <w:br/>
            </w:r>
            <w:proofErr w:type="spellStart"/>
            <w:r w:rsidRPr="00171323">
              <w:rPr>
                <w:rFonts w:asciiTheme="minorBidi" w:hAnsiTheme="minorBidi"/>
                <w:sz w:val="20"/>
              </w:rPr>
              <w:t>Zurich</w:t>
            </w:r>
            <w:proofErr w:type="spellEnd"/>
            <w:r w:rsidRPr="00171323">
              <w:rPr>
                <w:rFonts w:asciiTheme="minorBidi" w:hAnsiTheme="minorBidi"/>
                <w:sz w:val="20"/>
              </w:rPr>
              <w:t xml:space="preserve"> Turkish </w:t>
            </w:r>
            <w:proofErr w:type="spellStart"/>
            <w:r w:rsidRPr="00171323">
              <w:rPr>
                <w:rFonts w:asciiTheme="minorBidi" w:hAnsiTheme="minorBidi"/>
                <w:sz w:val="20"/>
              </w:rPr>
              <w:t>Classical</w:t>
            </w:r>
            <w:proofErr w:type="spellEnd"/>
            <w:r w:rsidRPr="00171323">
              <w:rPr>
                <w:rFonts w:asciiTheme="minorBidi" w:hAnsiTheme="minorBidi"/>
                <w:sz w:val="20"/>
              </w:rPr>
              <w:t xml:space="preserve"> </w:t>
            </w:r>
            <w:proofErr w:type="spellStart"/>
            <w:r w:rsidRPr="00171323">
              <w:rPr>
                <w:rFonts w:asciiTheme="minorBidi" w:hAnsiTheme="minorBidi"/>
                <w:sz w:val="20"/>
              </w:rPr>
              <w:t>Choir</w:t>
            </w:r>
            <w:proofErr w:type="spellEnd"/>
            <w:r w:rsidRPr="00171323">
              <w:rPr>
                <w:rFonts w:asciiTheme="minorBidi" w:hAnsiTheme="minorBidi"/>
                <w:sz w:val="20"/>
              </w:rPr>
              <w:t xml:space="preserve"> Association</w:t>
            </w:r>
          </w:p>
        </w:tc>
        <w:tc>
          <w:tcPr>
            <w:tcW w:w="1010" w:type="pct"/>
            <w:shd w:val="clear" w:color="auto" w:fill="DBE5F1" w:themeFill="accent1" w:themeFillTint="33"/>
            <w:vAlign w:val="center"/>
          </w:tcPr>
          <w:p w14:paraId="0D6441A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Suiza</w:t>
            </w:r>
          </w:p>
        </w:tc>
        <w:tc>
          <w:tcPr>
            <w:tcW w:w="842" w:type="pct"/>
            <w:shd w:val="clear" w:color="auto" w:fill="DBE5F1" w:themeFill="accent1" w:themeFillTint="33"/>
            <w:vAlign w:val="center"/>
          </w:tcPr>
          <w:p w14:paraId="5A38985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NGO-90560</w:t>
            </w:r>
          </w:p>
        </w:tc>
      </w:tr>
      <w:tr w:rsidR="002E550F" w:rsidRPr="00171323" w14:paraId="0F3A1A0B" w14:textId="77777777" w:rsidTr="00F86A5F">
        <w:trPr>
          <w:trHeight w:val="576"/>
        </w:trPr>
        <w:tc>
          <w:tcPr>
            <w:tcW w:w="3148" w:type="pct"/>
            <w:shd w:val="clear" w:color="auto" w:fill="auto"/>
            <w:vAlign w:val="center"/>
          </w:tcPr>
          <w:p w14:paraId="71608B32"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Uluslararasi</w:t>
            </w:r>
            <w:proofErr w:type="spellEnd"/>
            <w:r w:rsidRPr="00171323">
              <w:rPr>
                <w:rFonts w:asciiTheme="minorBidi" w:hAnsiTheme="minorBidi"/>
                <w:b/>
                <w:sz w:val="20"/>
              </w:rPr>
              <w:t xml:space="preserve"> </w:t>
            </w:r>
            <w:proofErr w:type="spellStart"/>
            <w:r w:rsidRPr="00171323">
              <w:rPr>
                <w:rFonts w:asciiTheme="minorBidi" w:hAnsiTheme="minorBidi"/>
                <w:b/>
                <w:sz w:val="20"/>
              </w:rPr>
              <w:t>Mevlana</w:t>
            </w:r>
            <w:proofErr w:type="spellEnd"/>
            <w:r w:rsidRPr="00171323">
              <w:rPr>
                <w:rFonts w:asciiTheme="minorBidi" w:hAnsiTheme="minorBidi"/>
                <w:b/>
                <w:sz w:val="20"/>
              </w:rPr>
              <w:t xml:space="preserve"> </w:t>
            </w:r>
            <w:proofErr w:type="spellStart"/>
            <w:r w:rsidRPr="00171323">
              <w:rPr>
                <w:rFonts w:asciiTheme="minorBidi" w:hAnsiTheme="minorBidi"/>
                <w:b/>
                <w:sz w:val="20"/>
              </w:rPr>
              <w:t>Vakfi</w:t>
            </w:r>
            <w:proofErr w:type="spellEnd"/>
            <w:r w:rsidRPr="00171323">
              <w:rPr>
                <w:rFonts w:asciiTheme="minorBidi" w:hAnsiTheme="minorBidi"/>
                <w:b/>
                <w:sz w:val="20"/>
              </w:rPr>
              <w:br/>
            </w:r>
            <w:r w:rsidRPr="00171323">
              <w:rPr>
                <w:rFonts w:asciiTheme="minorBidi" w:hAnsiTheme="minorBidi"/>
                <w:sz w:val="20"/>
              </w:rPr>
              <w:t xml:space="preserve">International </w:t>
            </w:r>
            <w:proofErr w:type="spellStart"/>
            <w:r w:rsidRPr="00171323">
              <w:rPr>
                <w:rFonts w:asciiTheme="minorBidi" w:hAnsiTheme="minorBidi"/>
                <w:sz w:val="20"/>
              </w:rPr>
              <w:t>Mevlana</w:t>
            </w:r>
            <w:proofErr w:type="spellEnd"/>
            <w:r w:rsidRPr="00171323">
              <w:rPr>
                <w:rFonts w:asciiTheme="minorBidi" w:hAnsiTheme="minorBidi"/>
                <w:sz w:val="20"/>
              </w:rPr>
              <w:t xml:space="preserve"> Foundation</w:t>
            </w:r>
          </w:p>
        </w:tc>
        <w:tc>
          <w:tcPr>
            <w:tcW w:w="1010" w:type="pct"/>
            <w:shd w:val="clear" w:color="auto" w:fill="auto"/>
            <w:vAlign w:val="center"/>
          </w:tcPr>
          <w:p w14:paraId="1FC8EC9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Türkiye</w:t>
            </w:r>
          </w:p>
        </w:tc>
        <w:tc>
          <w:tcPr>
            <w:tcW w:w="842" w:type="pct"/>
            <w:shd w:val="clear" w:color="auto" w:fill="auto"/>
            <w:vAlign w:val="center"/>
          </w:tcPr>
          <w:p w14:paraId="7A28EDDC"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NGO-90547</w:t>
            </w:r>
          </w:p>
        </w:tc>
      </w:tr>
      <w:tr w:rsidR="002E550F" w:rsidRPr="00171323" w14:paraId="3AFCE724" w14:textId="77777777" w:rsidTr="00F86A5F">
        <w:trPr>
          <w:trHeight w:val="576"/>
        </w:trPr>
        <w:tc>
          <w:tcPr>
            <w:tcW w:w="3148" w:type="pct"/>
            <w:shd w:val="clear" w:color="auto" w:fill="DBE5F1" w:themeFill="accent1" w:themeFillTint="33"/>
            <w:vAlign w:val="center"/>
          </w:tcPr>
          <w:p w14:paraId="4305DB0F"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Pr>
              <w:t>UN ETXEA- Asociación del País Vasco para la UNESCO</w:t>
            </w:r>
            <w:r w:rsidRPr="00171323">
              <w:rPr>
                <w:rFonts w:asciiTheme="minorBidi" w:hAnsiTheme="minorBidi"/>
                <w:b/>
                <w:sz w:val="20"/>
              </w:rPr>
              <w:br/>
            </w:r>
            <w:r w:rsidRPr="00171323">
              <w:rPr>
                <w:rFonts w:asciiTheme="minorBidi" w:hAnsiTheme="minorBidi"/>
                <w:sz w:val="20"/>
              </w:rPr>
              <w:t xml:space="preserve">UN ETXEA- </w:t>
            </w:r>
            <w:proofErr w:type="spellStart"/>
            <w:r w:rsidRPr="00171323">
              <w:rPr>
                <w:rFonts w:asciiTheme="minorBidi" w:hAnsiTheme="minorBidi"/>
                <w:sz w:val="20"/>
              </w:rPr>
              <w:t>Basque</w:t>
            </w:r>
            <w:proofErr w:type="spellEnd"/>
            <w:r w:rsidRPr="00171323">
              <w:rPr>
                <w:rFonts w:asciiTheme="minorBidi" w:hAnsiTheme="minorBidi"/>
                <w:sz w:val="20"/>
              </w:rPr>
              <w:t xml:space="preserve"> Country </w:t>
            </w:r>
            <w:proofErr w:type="spellStart"/>
            <w:r w:rsidRPr="00171323">
              <w:rPr>
                <w:rFonts w:asciiTheme="minorBidi" w:hAnsiTheme="minorBidi"/>
                <w:sz w:val="20"/>
              </w:rPr>
              <w:t>Association</w:t>
            </w:r>
            <w:proofErr w:type="spellEnd"/>
            <w:r w:rsidRPr="00171323">
              <w:rPr>
                <w:rFonts w:asciiTheme="minorBidi" w:hAnsiTheme="minorBidi"/>
                <w:sz w:val="20"/>
              </w:rPr>
              <w:t xml:space="preserve"> for UNESCO</w:t>
            </w:r>
          </w:p>
        </w:tc>
        <w:tc>
          <w:tcPr>
            <w:tcW w:w="1010" w:type="pct"/>
            <w:shd w:val="clear" w:color="auto" w:fill="DBE5F1" w:themeFill="accent1" w:themeFillTint="33"/>
            <w:vAlign w:val="center"/>
          </w:tcPr>
          <w:p w14:paraId="52B197B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España</w:t>
            </w:r>
          </w:p>
        </w:tc>
        <w:tc>
          <w:tcPr>
            <w:tcW w:w="842" w:type="pct"/>
            <w:shd w:val="clear" w:color="auto" w:fill="DBE5F1" w:themeFill="accent1" w:themeFillTint="33"/>
            <w:vAlign w:val="center"/>
          </w:tcPr>
          <w:p w14:paraId="0216AD24"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NGO-90590</w:t>
            </w:r>
          </w:p>
        </w:tc>
      </w:tr>
      <w:tr w:rsidR="002E550F" w:rsidRPr="00171323" w14:paraId="7BE1B1C4" w14:textId="77777777" w:rsidTr="00F86A5F">
        <w:trPr>
          <w:trHeight w:val="576"/>
        </w:trPr>
        <w:tc>
          <w:tcPr>
            <w:tcW w:w="3148" w:type="pct"/>
            <w:shd w:val="clear" w:color="auto" w:fill="auto"/>
            <w:vAlign w:val="center"/>
          </w:tcPr>
          <w:p w14:paraId="133C183D"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Vabnagar</w:t>
            </w:r>
            <w:proofErr w:type="spellEnd"/>
            <w:r w:rsidRPr="00171323">
              <w:rPr>
                <w:rFonts w:asciiTheme="minorBidi" w:hAnsiTheme="minorBidi"/>
                <w:b/>
                <w:sz w:val="20"/>
              </w:rPr>
              <w:t xml:space="preserve"> Foundation</w:t>
            </w:r>
          </w:p>
        </w:tc>
        <w:tc>
          <w:tcPr>
            <w:tcW w:w="1010" w:type="pct"/>
            <w:shd w:val="clear" w:color="auto" w:fill="auto"/>
            <w:vAlign w:val="center"/>
          </w:tcPr>
          <w:p w14:paraId="037AA392"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Bangladesh</w:t>
            </w:r>
          </w:p>
        </w:tc>
        <w:tc>
          <w:tcPr>
            <w:tcW w:w="842" w:type="pct"/>
            <w:shd w:val="clear" w:color="auto" w:fill="auto"/>
            <w:vAlign w:val="center"/>
          </w:tcPr>
          <w:p w14:paraId="12E1CF7D"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NGO-90526</w:t>
            </w:r>
          </w:p>
        </w:tc>
      </w:tr>
      <w:tr w:rsidR="002E550F" w:rsidRPr="00171323" w14:paraId="5B4AFC07" w14:textId="77777777" w:rsidTr="00F86A5F">
        <w:trPr>
          <w:trHeight w:val="576"/>
        </w:trPr>
        <w:tc>
          <w:tcPr>
            <w:tcW w:w="3148" w:type="pct"/>
            <w:shd w:val="clear" w:color="auto" w:fill="DBE5F1" w:themeFill="accent1" w:themeFillTint="33"/>
            <w:vAlign w:val="center"/>
          </w:tcPr>
          <w:p w14:paraId="1C6DB7B9"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b/>
                <w:sz w:val="20"/>
                <w:lang w:val="en-US"/>
              </w:rPr>
              <w:t xml:space="preserve">World Music </w:t>
            </w:r>
            <w:proofErr w:type="spellStart"/>
            <w:r w:rsidRPr="00171323">
              <w:rPr>
                <w:rFonts w:asciiTheme="minorBidi" w:hAnsiTheme="minorBidi"/>
                <w:b/>
                <w:sz w:val="20"/>
              </w:rPr>
              <w:t>асоцијација</w:t>
            </w:r>
            <w:proofErr w:type="spellEnd"/>
            <w:r w:rsidRPr="00171323">
              <w:rPr>
                <w:rFonts w:asciiTheme="minorBidi" w:hAnsiTheme="minorBidi"/>
                <w:b/>
                <w:sz w:val="20"/>
                <w:lang w:val="en-US"/>
              </w:rPr>
              <w:t xml:space="preserve"> </w:t>
            </w:r>
            <w:proofErr w:type="spellStart"/>
            <w:r w:rsidRPr="00171323">
              <w:rPr>
                <w:rFonts w:asciiTheme="minorBidi" w:hAnsiTheme="minorBidi"/>
                <w:b/>
                <w:sz w:val="20"/>
              </w:rPr>
              <w:t>Србије</w:t>
            </w:r>
            <w:proofErr w:type="spellEnd"/>
            <w:r w:rsidRPr="00171323">
              <w:rPr>
                <w:rFonts w:asciiTheme="minorBidi" w:hAnsiTheme="minorBidi"/>
                <w:b/>
                <w:sz w:val="20"/>
                <w:lang w:val="en-US"/>
              </w:rPr>
              <w:br/>
            </w:r>
            <w:r w:rsidRPr="00171323">
              <w:rPr>
                <w:rFonts w:asciiTheme="minorBidi" w:hAnsiTheme="minorBidi"/>
                <w:sz w:val="20"/>
                <w:lang w:val="en-US"/>
              </w:rPr>
              <w:t>World Music Association of Serbia</w:t>
            </w:r>
          </w:p>
        </w:tc>
        <w:tc>
          <w:tcPr>
            <w:tcW w:w="1010" w:type="pct"/>
            <w:shd w:val="clear" w:color="auto" w:fill="DBE5F1" w:themeFill="accent1" w:themeFillTint="33"/>
            <w:vAlign w:val="center"/>
          </w:tcPr>
          <w:p w14:paraId="382DF01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Serbia</w:t>
            </w:r>
          </w:p>
        </w:tc>
        <w:tc>
          <w:tcPr>
            <w:tcW w:w="842" w:type="pct"/>
            <w:shd w:val="clear" w:color="auto" w:fill="DBE5F1" w:themeFill="accent1" w:themeFillTint="33"/>
            <w:vAlign w:val="center"/>
          </w:tcPr>
          <w:p w14:paraId="555FE7C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NGO-90530</w:t>
            </w:r>
          </w:p>
        </w:tc>
      </w:tr>
      <w:tr w:rsidR="002E550F" w:rsidRPr="00171323" w14:paraId="1F8BE9A3" w14:textId="77777777" w:rsidTr="00F86A5F">
        <w:trPr>
          <w:trHeight w:val="576"/>
        </w:trPr>
        <w:tc>
          <w:tcPr>
            <w:tcW w:w="3148" w:type="pct"/>
            <w:shd w:val="clear" w:color="auto" w:fill="auto"/>
            <w:vAlign w:val="center"/>
          </w:tcPr>
          <w:p w14:paraId="66B390BA"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Yayasan</w:t>
            </w:r>
            <w:proofErr w:type="spellEnd"/>
            <w:r w:rsidRPr="00171323">
              <w:rPr>
                <w:rFonts w:asciiTheme="minorBidi" w:hAnsiTheme="minorBidi"/>
                <w:b/>
                <w:sz w:val="20"/>
              </w:rPr>
              <w:t xml:space="preserve"> </w:t>
            </w:r>
            <w:proofErr w:type="spellStart"/>
            <w:r w:rsidRPr="00171323">
              <w:rPr>
                <w:rFonts w:asciiTheme="minorBidi" w:hAnsiTheme="minorBidi"/>
                <w:b/>
                <w:sz w:val="20"/>
              </w:rPr>
              <w:t>Toraja</w:t>
            </w:r>
            <w:proofErr w:type="spellEnd"/>
            <w:r w:rsidRPr="00171323">
              <w:rPr>
                <w:rFonts w:asciiTheme="minorBidi" w:hAnsiTheme="minorBidi"/>
                <w:b/>
                <w:sz w:val="20"/>
              </w:rPr>
              <w:t xml:space="preserve"> Melo</w:t>
            </w:r>
            <w:r w:rsidRPr="00171323">
              <w:rPr>
                <w:rFonts w:asciiTheme="minorBidi" w:hAnsiTheme="minorBidi"/>
                <w:b/>
                <w:sz w:val="20"/>
              </w:rPr>
              <w:br/>
            </w:r>
            <w:proofErr w:type="spellStart"/>
            <w:r w:rsidRPr="00171323">
              <w:rPr>
                <w:rFonts w:asciiTheme="minorBidi" w:hAnsiTheme="minorBidi"/>
                <w:sz w:val="20"/>
              </w:rPr>
              <w:t>Toraja</w:t>
            </w:r>
            <w:proofErr w:type="spellEnd"/>
            <w:r w:rsidRPr="00171323">
              <w:rPr>
                <w:rFonts w:asciiTheme="minorBidi" w:hAnsiTheme="minorBidi"/>
                <w:sz w:val="20"/>
              </w:rPr>
              <w:t xml:space="preserve"> Melo Foundation</w:t>
            </w:r>
          </w:p>
        </w:tc>
        <w:tc>
          <w:tcPr>
            <w:tcW w:w="1010" w:type="pct"/>
            <w:shd w:val="clear" w:color="auto" w:fill="auto"/>
            <w:vAlign w:val="center"/>
          </w:tcPr>
          <w:p w14:paraId="11C416E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Indonesia</w:t>
            </w:r>
          </w:p>
        </w:tc>
        <w:tc>
          <w:tcPr>
            <w:tcW w:w="842" w:type="pct"/>
            <w:shd w:val="clear" w:color="auto" w:fill="auto"/>
            <w:vAlign w:val="center"/>
          </w:tcPr>
          <w:p w14:paraId="2AAF3B8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NGO-90575</w:t>
            </w:r>
          </w:p>
        </w:tc>
      </w:tr>
      <w:tr w:rsidR="002E550F" w:rsidRPr="00171323" w14:paraId="49C15F4D" w14:textId="77777777" w:rsidTr="00F86A5F">
        <w:trPr>
          <w:trHeight w:val="576"/>
        </w:trPr>
        <w:tc>
          <w:tcPr>
            <w:tcW w:w="3148" w:type="pct"/>
            <w:shd w:val="clear" w:color="auto" w:fill="DBE5F1" w:themeFill="accent1" w:themeFillTint="33"/>
            <w:vAlign w:val="center"/>
          </w:tcPr>
          <w:p w14:paraId="558ED726"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Μεσογει</w:t>
            </w:r>
            <w:proofErr w:type="spellEnd"/>
            <w:r w:rsidRPr="00171323">
              <w:rPr>
                <w:rFonts w:asciiTheme="minorBidi" w:hAnsiTheme="minorBidi"/>
                <w:b/>
                <w:sz w:val="20"/>
              </w:rPr>
              <w:t xml:space="preserve">ακό </w:t>
            </w:r>
            <w:proofErr w:type="spellStart"/>
            <w:r w:rsidRPr="00171323">
              <w:rPr>
                <w:rFonts w:asciiTheme="minorBidi" w:hAnsiTheme="minorBidi"/>
                <w:b/>
                <w:sz w:val="20"/>
              </w:rPr>
              <w:t>Ινστιτούτο</w:t>
            </w:r>
            <w:proofErr w:type="spellEnd"/>
            <w:r w:rsidRPr="00171323">
              <w:rPr>
                <w:rFonts w:asciiTheme="minorBidi" w:hAnsiTheme="minorBidi"/>
                <w:b/>
                <w:sz w:val="20"/>
              </w:rPr>
              <w:t xml:space="preserve"> </w:t>
            </w:r>
            <w:proofErr w:type="spellStart"/>
            <w:r w:rsidRPr="00171323">
              <w:rPr>
                <w:rFonts w:asciiTheme="minorBidi" w:hAnsiTheme="minorBidi"/>
                <w:b/>
                <w:sz w:val="20"/>
              </w:rPr>
              <w:t>γι</w:t>
            </w:r>
            <w:proofErr w:type="spellEnd"/>
            <w:r w:rsidRPr="00171323">
              <w:rPr>
                <w:rFonts w:asciiTheme="minorBidi" w:hAnsiTheme="minorBidi"/>
                <w:b/>
                <w:sz w:val="20"/>
              </w:rPr>
              <w:t xml:space="preserve">α </w:t>
            </w:r>
            <w:proofErr w:type="spellStart"/>
            <w:r w:rsidRPr="00171323">
              <w:rPr>
                <w:rFonts w:asciiTheme="minorBidi" w:hAnsiTheme="minorBidi"/>
                <w:b/>
                <w:sz w:val="20"/>
              </w:rPr>
              <w:t>τη</w:t>
            </w:r>
            <w:proofErr w:type="spellEnd"/>
            <w:r w:rsidRPr="00171323">
              <w:rPr>
                <w:rFonts w:asciiTheme="minorBidi" w:hAnsiTheme="minorBidi"/>
                <w:b/>
                <w:sz w:val="20"/>
              </w:rPr>
              <w:t xml:space="preserve"> </w:t>
            </w:r>
            <w:proofErr w:type="spellStart"/>
            <w:r w:rsidRPr="00171323">
              <w:rPr>
                <w:rFonts w:asciiTheme="minorBidi" w:hAnsiTheme="minorBidi"/>
                <w:b/>
                <w:sz w:val="20"/>
              </w:rPr>
              <w:t>Φύση</w:t>
            </w:r>
            <w:proofErr w:type="spellEnd"/>
            <w:r w:rsidRPr="00171323">
              <w:rPr>
                <w:rFonts w:asciiTheme="minorBidi" w:hAnsiTheme="minorBidi"/>
                <w:b/>
                <w:sz w:val="20"/>
              </w:rPr>
              <w:t xml:space="preserve"> και </w:t>
            </w:r>
            <w:proofErr w:type="spellStart"/>
            <w:r w:rsidRPr="00171323">
              <w:rPr>
                <w:rFonts w:asciiTheme="minorBidi" w:hAnsiTheme="minorBidi"/>
                <w:b/>
                <w:sz w:val="20"/>
              </w:rPr>
              <w:t>τον</w:t>
            </w:r>
            <w:proofErr w:type="spellEnd"/>
            <w:r w:rsidRPr="00171323">
              <w:rPr>
                <w:rFonts w:asciiTheme="minorBidi" w:hAnsiTheme="minorBidi"/>
                <w:b/>
                <w:sz w:val="20"/>
              </w:rPr>
              <w:t xml:space="preserve"> </w:t>
            </w:r>
            <w:proofErr w:type="spellStart"/>
            <w:r w:rsidRPr="00171323">
              <w:rPr>
                <w:rFonts w:asciiTheme="minorBidi" w:hAnsiTheme="minorBidi"/>
                <w:b/>
                <w:sz w:val="20"/>
              </w:rPr>
              <w:t>Άνθρω</w:t>
            </w:r>
            <w:proofErr w:type="spellEnd"/>
            <w:r w:rsidRPr="00171323">
              <w:rPr>
                <w:rFonts w:asciiTheme="minorBidi" w:hAnsiTheme="minorBidi"/>
                <w:b/>
                <w:sz w:val="20"/>
              </w:rPr>
              <w:t>πο</w:t>
            </w:r>
            <w:r w:rsidRPr="00171323">
              <w:rPr>
                <w:rFonts w:asciiTheme="minorBidi" w:hAnsiTheme="minorBidi"/>
                <w:b/>
                <w:sz w:val="20"/>
              </w:rPr>
              <w:br/>
            </w:r>
            <w:proofErr w:type="spellStart"/>
            <w:r w:rsidRPr="00171323">
              <w:rPr>
                <w:rFonts w:asciiTheme="minorBidi" w:hAnsiTheme="minorBidi"/>
                <w:sz w:val="20"/>
              </w:rPr>
              <w:t>Mediterranean</w:t>
            </w:r>
            <w:proofErr w:type="spellEnd"/>
            <w:r w:rsidRPr="00171323">
              <w:rPr>
                <w:rFonts w:asciiTheme="minorBidi" w:hAnsiTheme="minorBidi"/>
                <w:sz w:val="20"/>
              </w:rPr>
              <w:t xml:space="preserve"> </w:t>
            </w:r>
            <w:proofErr w:type="spellStart"/>
            <w:r w:rsidRPr="00171323">
              <w:rPr>
                <w:rFonts w:asciiTheme="minorBidi" w:hAnsiTheme="minorBidi"/>
                <w:sz w:val="20"/>
              </w:rPr>
              <w:t>Institute</w:t>
            </w:r>
            <w:proofErr w:type="spellEnd"/>
            <w:r w:rsidRPr="00171323">
              <w:rPr>
                <w:rFonts w:asciiTheme="minorBidi" w:hAnsiTheme="minorBidi"/>
                <w:sz w:val="20"/>
              </w:rPr>
              <w:t xml:space="preserve"> for </w:t>
            </w:r>
            <w:proofErr w:type="spellStart"/>
            <w:r w:rsidRPr="00171323">
              <w:rPr>
                <w:rFonts w:asciiTheme="minorBidi" w:hAnsiTheme="minorBidi"/>
                <w:sz w:val="20"/>
              </w:rPr>
              <w:t>Nature</w:t>
            </w:r>
            <w:proofErr w:type="spellEnd"/>
            <w:r w:rsidRPr="00171323">
              <w:rPr>
                <w:rFonts w:asciiTheme="minorBidi" w:hAnsiTheme="minorBidi"/>
                <w:sz w:val="20"/>
              </w:rPr>
              <w:t xml:space="preserve"> and </w:t>
            </w:r>
            <w:proofErr w:type="spellStart"/>
            <w:r w:rsidRPr="00171323">
              <w:rPr>
                <w:rFonts w:asciiTheme="minorBidi" w:hAnsiTheme="minorBidi"/>
                <w:sz w:val="20"/>
              </w:rPr>
              <w:t>Anthropos</w:t>
            </w:r>
            <w:proofErr w:type="spellEnd"/>
          </w:p>
        </w:tc>
        <w:tc>
          <w:tcPr>
            <w:tcW w:w="1010" w:type="pct"/>
            <w:shd w:val="clear" w:color="auto" w:fill="DBE5F1" w:themeFill="accent1" w:themeFillTint="33"/>
            <w:vAlign w:val="center"/>
          </w:tcPr>
          <w:p w14:paraId="63E0AAD6"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Grecia</w:t>
            </w:r>
          </w:p>
        </w:tc>
        <w:tc>
          <w:tcPr>
            <w:tcW w:w="842" w:type="pct"/>
            <w:shd w:val="clear" w:color="auto" w:fill="DBE5F1" w:themeFill="accent1" w:themeFillTint="33"/>
            <w:vAlign w:val="center"/>
          </w:tcPr>
          <w:p w14:paraId="3D06D25F"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NGO-90556</w:t>
            </w:r>
          </w:p>
        </w:tc>
      </w:tr>
      <w:tr w:rsidR="002E550F" w:rsidRPr="00171323" w14:paraId="706C6701" w14:textId="77777777" w:rsidTr="00F86A5F">
        <w:trPr>
          <w:trHeight w:val="576"/>
        </w:trPr>
        <w:tc>
          <w:tcPr>
            <w:tcW w:w="3148" w:type="pct"/>
            <w:shd w:val="clear" w:color="auto" w:fill="auto"/>
            <w:vAlign w:val="center"/>
          </w:tcPr>
          <w:p w14:paraId="1A71F02E"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Ґромадська</w:t>
            </w:r>
            <w:proofErr w:type="spellEnd"/>
            <w:r w:rsidRPr="00171323">
              <w:rPr>
                <w:rFonts w:asciiTheme="minorBidi" w:hAnsiTheme="minorBidi"/>
                <w:b/>
                <w:sz w:val="20"/>
              </w:rPr>
              <w:t xml:space="preserve"> </w:t>
            </w:r>
            <w:proofErr w:type="spellStart"/>
            <w:r w:rsidRPr="00171323">
              <w:rPr>
                <w:rFonts w:asciiTheme="minorBidi" w:hAnsiTheme="minorBidi"/>
                <w:b/>
                <w:sz w:val="20"/>
              </w:rPr>
              <w:t>орґанізація</w:t>
            </w:r>
            <w:proofErr w:type="spellEnd"/>
            <w:r w:rsidRPr="00171323">
              <w:rPr>
                <w:rFonts w:asciiTheme="minorBidi" w:hAnsiTheme="minorBidi"/>
                <w:b/>
                <w:sz w:val="20"/>
              </w:rPr>
              <w:t xml:space="preserve"> ЖІНКИ </w:t>
            </w:r>
            <w:proofErr w:type="spellStart"/>
            <w:r w:rsidRPr="00171323">
              <w:rPr>
                <w:rFonts w:asciiTheme="minorBidi" w:hAnsiTheme="minorBidi"/>
                <w:b/>
                <w:sz w:val="20"/>
              </w:rPr>
              <w:t>плюс</w:t>
            </w:r>
            <w:proofErr w:type="spellEnd"/>
            <w:r w:rsidRPr="00171323">
              <w:rPr>
                <w:rFonts w:asciiTheme="minorBidi" w:hAnsiTheme="minorBidi"/>
                <w:b/>
                <w:sz w:val="20"/>
              </w:rPr>
              <w:br/>
            </w:r>
            <w:r w:rsidRPr="00171323">
              <w:rPr>
                <w:rFonts w:asciiTheme="minorBidi" w:hAnsiTheme="minorBidi"/>
                <w:sz w:val="20"/>
              </w:rPr>
              <w:t>WOMEN plus</w:t>
            </w:r>
          </w:p>
        </w:tc>
        <w:tc>
          <w:tcPr>
            <w:tcW w:w="1010" w:type="pct"/>
            <w:shd w:val="clear" w:color="auto" w:fill="auto"/>
            <w:vAlign w:val="center"/>
          </w:tcPr>
          <w:p w14:paraId="2017DB12"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Ucrania</w:t>
            </w:r>
          </w:p>
        </w:tc>
        <w:tc>
          <w:tcPr>
            <w:tcW w:w="842" w:type="pct"/>
            <w:shd w:val="clear" w:color="auto" w:fill="auto"/>
            <w:vAlign w:val="center"/>
          </w:tcPr>
          <w:p w14:paraId="4E3C0A85"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NGO-90558</w:t>
            </w:r>
          </w:p>
        </w:tc>
      </w:tr>
      <w:tr w:rsidR="002E550F" w:rsidRPr="00171323" w14:paraId="0A29BBDC" w14:textId="77777777" w:rsidTr="00F86A5F">
        <w:trPr>
          <w:trHeight w:val="576"/>
        </w:trPr>
        <w:tc>
          <w:tcPr>
            <w:tcW w:w="3148" w:type="pct"/>
            <w:shd w:val="clear" w:color="auto" w:fill="DBE5F1" w:themeFill="accent1" w:themeFillTint="33"/>
            <w:vAlign w:val="center"/>
          </w:tcPr>
          <w:p w14:paraId="09B897A3"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Theme="minorBidi" w:hAnsiTheme="minorBidi"/>
                <w:b/>
                <w:sz w:val="20"/>
              </w:rPr>
              <w:t>Фондация</w:t>
            </w:r>
            <w:proofErr w:type="spellEnd"/>
            <w:r w:rsidRPr="00171323">
              <w:rPr>
                <w:rFonts w:asciiTheme="minorBidi" w:hAnsiTheme="minorBidi"/>
                <w:b/>
                <w:sz w:val="20"/>
              </w:rPr>
              <w:t xml:space="preserve"> </w:t>
            </w:r>
            <w:proofErr w:type="spellStart"/>
            <w:r w:rsidRPr="00171323">
              <w:rPr>
                <w:rFonts w:asciiTheme="minorBidi" w:hAnsiTheme="minorBidi"/>
                <w:b/>
                <w:sz w:val="20"/>
              </w:rPr>
              <w:t>Стойна</w:t>
            </w:r>
            <w:proofErr w:type="spellEnd"/>
            <w:r w:rsidRPr="00171323">
              <w:rPr>
                <w:rFonts w:asciiTheme="minorBidi" w:hAnsiTheme="minorBidi"/>
                <w:b/>
                <w:sz w:val="20"/>
              </w:rPr>
              <w:t xml:space="preserve"> </w:t>
            </w:r>
            <w:proofErr w:type="spellStart"/>
            <w:r w:rsidRPr="00171323">
              <w:rPr>
                <w:rFonts w:asciiTheme="minorBidi" w:hAnsiTheme="minorBidi"/>
                <w:b/>
                <w:sz w:val="20"/>
              </w:rPr>
              <w:t>Кръстанова</w:t>
            </w:r>
            <w:proofErr w:type="spellEnd"/>
            <w:r w:rsidRPr="00171323">
              <w:rPr>
                <w:rFonts w:asciiTheme="minorBidi" w:hAnsiTheme="minorBidi"/>
                <w:b/>
                <w:sz w:val="20"/>
              </w:rPr>
              <w:br/>
            </w:r>
            <w:proofErr w:type="spellStart"/>
            <w:r w:rsidRPr="00171323">
              <w:rPr>
                <w:rFonts w:asciiTheme="minorBidi" w:hAnsiTheme="minorBidi"/>
                <w:sz w:val="20"/>
              </w:rPr>
              <w:t>Stoyna</w:t>
            </w:r>
            <w:proofErr w:type="spellEnd"/>
            <w:r w:rsidRPr="00171323">
              <w:rPr>
                <w:rFonts w:asciiTheme="minorBidi" w:hAnsiTheme="minorBidi"/>
                <w:sz w:val="20"/>
              </w:rPr>
              <w:t xml:space="preserve"> </w:t>
            </w:r>
            <w:proofErr w:type="spellStart"/>
            <w:r w:rsidRPr="00171323">
              <w:rPr>
                <w:rFonts w:asciiTheme="minorBidi" w:hAnsiTheme="minorBidi"/>
                <w:sz w:val="20"/>
              </w:rPr>
              <w:t>Krastanova</w:t>
            </w:r>
            <w:proofErr w:type="spellEnd"/>
            <w:r w:rsidRPr="00171323">
              <w:rPr>
                <w:rFonts w:asciiTheme="minorBidi" w:hAnsiTheme="minorBidi"/>
                <w:sz w:val="20"/>
              </w:rPr>
              <w:t xml:space="preserve"> Foundation</w:t>
            </w:r>
          </w:p>
        </w:tc>
        <w:tc>
          <w:tcPr>
            <w:tcW w:w="1010" w:type="pct"/>
            <w:shd w:val="clear" w:color="auto" w:fill="DBE5F1" w:themeFill="accent1" w:themeFillTint="33"/>
            <w:vAlign w:val="center"/>
          </w:tcPr>
          <w:p w14:paraId="099E0EE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Bulgaria</w:t>
            </w:r>
          </w:p>
        </w:tc>
        <w:tc>
          <w:tcPr>
            <w:tcW w:w="842" w:type="pct"/>
            <w:shd w:val="clear" w:color="auto" w:fill="DBE5F1" w:themeFill="accent1" w:themeFillTint="33"/>
            <w:vAlign w:val="center"/>
          </w:tcPr>
          <w:p w14:paraId="0FAD65D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NGO-90571</w:t>
            </w:r>
          </w:p>
        </w:tc>
      </w:tr>
      <w:tr w:rsidR="002E550F" w:rsidRPr="00171323" w14:paraId="1404C822" w14:textId="77777777" w:rsidTr="00F86A5F">
        <w:trPr>
          <w:trHeight w:val="576"/>
        </w:trPr>
        <w:tc>
          <w:tcPr>
            <w:tcW w:w="3148" w:type="pct"/>
            <w:shd w:val="clear" w:color="auto" w:fill="auto"/>
            <w:vAlign w:val="center"/>
          </w:tcPr>
          <w:p w14:paraId="7E18A1F6" w14:textId="77777777" w:rsidR="002E550F" w:rsidRPr="00B4133D" w:rsidRDefault="002E550F" w:rsidP="00F86A5F">
            <w:pPr>
              <w:widowControl w:val="0"/>
              <w:contextualSpacing/>
              <w:rPr>
                <w:rFonts w:asciiTheme="minorBidi" w:hAnsiTheme="minorBidi" w:cstheme="minorBidi"/>
                <w:b/>
                <w:bCs/>
                <w:sz w:val="20"/>
                <w:szCs w:val="20"/>
                <w:lang w:val="en-GB"/>
              </w:rPr>
            </w:pPr>
            <w:r w:rsidRPr="00171323">
              <w:rPr>
                <w:rFonts w:asciiTheme="minorBidi" w:hAnsiTheme="minorBidi"/>
                <w:b/>
                <w:sz w:val="20"/>
                <w:rtl/>
              </w:rPr>
              <w:t>جمعية حرفة التعاونية</w:t>
            </w:r>
          </w:p>
          <w:p w14:paraId="120A5FAB" w14:textId="77777777" w:rsidR="002E550F" w:rsidRPr="00B4133D" w:rsidRDefault="002E550F" w:rsidP="00F86A5F">
            <w:pPr>
              <w:contextualSpacing/>
              <w:rPr>
                <w:rFonts w:asciiTheme="minorBidi" w:hAnsiTheme="minorBidi" w:cstheme="minorBidi"/>
                <w:sz w:val="20"/>
                <w:szCs w:val="20"/>
                <w:lang w:val="en-GB"/>
              </w:rPr>
            </w:pPr>
            <w:r w:rsidRPr="00B4133D">
              <w:rPr>
                <w:rFonts w:asciiTheme="minorBidi" w:hAnsiTheme="minorBidi"/>
                <w:sz w:val="20"/>
                <w:lang w:val="en-GB"/>
              </w:rPr>
              <w:t>Herfah Cooperative Association</w:t>
            </w:r>
          </w:p>
        </w:tc>
        <w:tc>
          <w:tcPr>
            <w:tcW w:w="1010" w:type="pct"/>
            <w:shd w:val="clear" w:color="auto" w:fill="auto"/>
            <w:vAlign w:val="center"/>
          </w:tcPr>
          <w:p w14:paraId="3304DBFE"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Arabia Saudita</w:t>
            </w:r>
          </w:p>
        </w:tc>
        <w:tc>
          <w:tcPr>
            <w:tcW w:w="842" w:type="pct"/>
            <w:shd w:val="clear" w:color="auto" w:fill="auto"/>
            <w:vAlign w:val="center"/>
          </w:tcPr>
          <w:p w14:paraId="5C7873F1"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NGO-90591</w:t>
            </w:r>
          </w:p>
        </w:tc>
      </w:tr>
      <w:tr w:rsidR="002E550F" w:rsidRPr="00171323" w14:paraId="7177A16B" w14:textId="77777777" w:rsidTr="00F86A5F">
        <w:trPr>
          <w:trHeight w:val="576"/>
        </w:trPr>
        <w:tc>
          <w:tcPr>
            <w:tcW w:w="3148" w:type="pct"/>
            <w:shd w:val="clear" w:color="auto" w:fill="DBE5F1" w:themeFill="accent1" w:themeFillTint="33"/>
            <w:vAlign w:val="center"/>
          </w:tcPr>
          <w:p w14:paraId="167E8331" w14:textId="77777777" w:rsidR="002E550F" w:rsidRPr="00B4133D" w:rsidRDefault="002E550F" w:rsidP="00F86A5F">
            <w:pPr>
              <w:contextualSpacing/>
              <w:rPr>
                <w:rFonts w:asciiTheme="minorBidi" w:hAnsiTheme="minorBidi" w:cstheme="minorBidi"/>
                <w:b/>
                <w:bCs/>
                <w:sz w:val="20"/>
                <w:szCs w:val="20"/>
                <w:lang w:val="en-GB"/>
              </w:rPr>
            </w:pPr>
            <w:bookmarkStart w:id="4" w:name="_Hlk150107361"/>
            <w:r w:rsidRPr="00171323">
              <w:rPr>
                <w:rFonts w:asciiTheme="minorBidi" w:hAnsiTheme="minorBidi"/>
                <w:b/>
                <w:sz w:val="20"/>
                <w:rtl/>
              </w:rPr>
              <w:t>جمعية الصعيد للتربية والتنمية</w:t>
            </w:r>
          </w:p>
          <w:p w14:paraId="0E7BA32E" w14:textId="77777777" w:rsidR="002E550F" w:rsidRPr="00B4133D" w:rsidRDefault="002E550F" w:rsidP="00F86A5F">
            <w:pPr>
              <w:contextualSpacing/>
              <w:rPr>
                <w:rFonts w:asciiTheme="minorBidi" w:hAnsiTheme="minorBidi" w:cstheme="minorBidi"/>
                <w:sz w:val="20"/>
                <w:szCs w:val="20"/>
                <w:lang w:val="en-GB"/>
              </w:rPr>
            </w:pPr>
            <w:r w:rsidRPr="00B4133D">
              <w:rPr>
                <w:rFonts w:asciiTheme="minorBidi" w:hAnsiTheme="minorBidi"/>
                <w:sz w:val="20"/>
                <w:lang w:val="en-GB"/>
              </w:rPr>
              <w:t>Association of Upper Egypt for Education and Development</w:t>
            </w:r>
          </w:p>
        </w:tc>
        <w:tc>
          <w:tcPr>
            <w:tcW w:w="1010" w:type="pct"/>
            <w:shd w:val="clear" w:color="auto" w:fill="DBE5F1" w:themeFill="accent1" w:themeFillTint="33"/>
            <w:vAlign w:val="center"/>
          </w:tcPr>
          <w:p w14:paraId="382FCDEA"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Egipto</w:t>
            </w:r>
          </w:p>
        </w:tc>
        <w:tc>
          <w:tcPr>
            <w:tcW w:w="842" w:type="pct"/>
            <w:shd w:val="clear" w:color="auto" w:fill="DBE5F1" w:themeFill="accent1" w:themeFillTint="33"/>
            <w:vAlign w:val="center"/>
          </w:tcPr>
          <w:p w14:paraId="1CFB584F"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NGO-90535</w:t>
            </w:r>
          </w:p>
        </w:tc>
      </w:tr>
      <w:tr w:rsidR="002E550F" w:rsidRPr="00171323" w14:paraId="060DD0DB" w14:textId="77777777" w:rsidTr="00F86A5F">
        <w:trPr>
          <w:trHeight w:val="576"/>
        </w:trPr>
        <w:tc>
          <w:tcPr>
            <w:tcW w:w="3148" w:type="pct"/>
            <w:shd w:val="clear" w:color="auto" w:fill="auto"/>
            <w:vAlign w:val="center"/>
          </w:tcPr>
          <w:p w14:paraId="15787418" w14:textId="77777777" w:rsidR="002E550F" w:rsidRPr="00171323" w:rsidRDefault="002E550F" w:rsidP="00F86A5F">
            <w:pPr>
              <w:contextualSpacing/>
              <w:rPr>
                <w:rFonts w:asciiTheme="minorBidi" w:hAnsiTheme="minorBidi" w:cstheme="minorBidi"/>
                <w:b/>
                <w:bCs/>
                <w:sz w:val="20"/>
                <w:szCs w:val="20"/>
              </w:rPr>
            </w:pPr>
            <w:r w:rsidRPr="00171323">
              <w:rPr>
                <w:rFonts w:asciiTheme="minorBidi" w:hAnsiTheme="minorBidi"/>
                <w:b/>
                <w:sz w:val="20"/>
                <w:rtl/>
              </w:rPr>
              <w:t>جمعيّة صيانة القصور والمحافظة على التّراث ببني خداش</w:t>
            </w:r>
          </w:p>
          <w:p w14:paraId="490A77B0" w14:textId="77777777" w:rsidR="002E550F" w:rsidRPr="00171323" w:rsidRDefault="002E550F" w:rsidP="00F86A5F">
            <w:pPr>
              <w:contextualSpacing/>
              <w:rPr>
                <w:rFonts w:asciiTheme="minorBidi" w:hAnsiTheme="minorBidi" w:cstheme="minorBidi"/>
                <w:sz w:val="20"/>
                <w:szCs w:val="20"/>
                <w:lang w:val="fr-FR"/>
              </w:rPr>
            </w:pPr>
            <w:r w:rsidRPr="00171323">
              <w:rPr>
                <w:rFonts w:asciiTheme="minorBidi" w:hAnsiTheme="minorBidi"/>
                <w:sz w:val="20"/>
                <w:lang w:val="fr-FR"/>
              </w:rPr>
              <w:t xml:space="preserve">Association de protection de ksour et sauvegarde du patrimoine à Béni </w:t>
            </w:r>
            <w:proofErr w:type="spellStart"/>
            <w:r w:rsidRPr="00171323">
              <w:rPr>
                <w:rFonts w:asciiTheme="minorBidi" w:hAnsiTheme="minorBidi"/>
                <w:sz w:val="20"/>
                <w:lang w:val="fr-FR"/>
              </w:rPr>
              <w:t>Kheddache</w:t>
            </w:r>
            <w:proofErr w:type="spellEnd"/>
          </w:p>
        </w:tc>
        <w:tc>
          <w:tcPr>
            <w:tcW w:w="1010" w:type="pct"/>
            <w:shd w:val="clear" w:color="auto" w:fill="auto"/>
            <w:vAlign w:val="center"/>
          </w:tcPr>
          <w:p w14:paraId="319E72E8"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Túnez</w:t>
            </w:r>
          </w:p>
        </w:tc>
        <w:tc>
          <w:tcPr>
            <w:tcW w:w="842" w:type="pct"/>
            <w:shd w:val="clear" w:color="auto" w:fill="auto"/>
            <w:vAlign w:val="center"/>
          </w:tcPr>
          <w:p w14:paraId="26AAEB33"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NGO-90534</w:t>
            </w:r>
          </w:p>
        </w:tc>
      </w:tr>
      <w:tr w:rsidR="002E550F" w:rsidRPr="00171323" w14:paraId="3FF147A7" w14:textId="77777777" w:rsidTr="00F86A5F">
        <w:trPr>
          <w:trHeight w:val="576"/>
        </w:trPr>
        <w:tc>
          <w:tcPr>
            <w:tcW w:w="3148" w:type="pct"/>
            <w:shd w:val="clear" w:color="auto" w:fill="DBE5F1" w:themeFill="accent1" w:themeFillTint="33"/>
            <w:vAlign w:val="center"/>
          </w:tcPr>
          <w:p w14:paraId="5B12266B" w14:textId="77777777" w:rsidR="002E550F" w:rsidRPr="00B4133D" w:rsidRDefault="002E550F" w:rsidP="00F86A5F">
            <w:pPr>
              <w:contextualSpacing/>
              <w:rPr>
                <w:rFonts w:asciiTheme="minorBidi" w:hAnsiTheme="minorBidi" w:cstheme="minorBidi"/>
                <w:b/>
                <w:bCs/>
                <w:sz w:val="20"/>
                <w:szCs w:val="20"/>
                <w:lang w:val="en-GB"/>
              </w:rPr>
            </w:pPr>
            <w:r w:rsidRPr="00171323">
              <w:rPr>
                <w:rFonts w:asciiTheme="minorBidi" w:hAnsiTheme="minorBidi"/>
                <w:b/>
                <w:sz w:val="20"/>
                <w:rtl/>
              </w:rPr>
              <w:t xml:space="preserve">مؤسسة </w:t>
            </w:r>
            <w:proofErr w:type="spellStart"/>
            <w:r w:rsidRPr="00171323">
              <w:rPr>
                <w:rFonts w:asciiTheme="minorBidi" w:hAnsiTheme="minorBidi"/>
                <w:b/>
                <w:sz w:val="20"/>
                <w:rtl/>
              </w:rPr>
              <w:t>راقودة</w:t>
            </w:r>
            <w:proofErr w:type="spellEnd"/>
            <w:r w:rsidRPr="00171323">
              <w:rPr>
                <w:rFonts w:asciiTheme="minorBidi" w:hAnsiTheme="minorBidi"/>
                <w:b/>
                <w:sz w:val="20"/>
                <w:rtl/>
              </w:rPr>
              <w:t xml:space="preserve"> للفن والتراث</w:t>
            </w:r>
          </w:p>
          <w:p w14:paraId="6258ADF0" w14:textId="77777777" w:rsidR="002E550F" w:rsidRPr="00B4133D" w:rsidRDefault="002E550F" w:rsidP="00F86A5F">
            <w:pPr>
              <w:contextualSpacing/>
              <w:rPr>
                <w:rFonts w:asciiTheme="minorBidi" w:hAnsiTheme="minorBidi" w:cstheme="minorBidi"/>
                <w:sz w:val="20"/>
                <w:szCs w:val="20"/>
                <w:lang w:val="en-GB"/>
              </w:rPr>
            </w:pPr>
            <w:r w:rsidRPr="00B4133D">
              <w:rPr>
                <w:rFonts w:asciiTheme="minorBidi" w:hAnsiTheme="minorBidi"/>
                <w:sz w:val="20"/>
                <w:lang w:val="en-GB"/>
              </w:rPr>
              <w:t>Raquda Foundation for Art and Heritage</w:t>
            </w:r>
          </w:p>
        </w:tc>
        <w:tc>
          <w:tcPr>
            <w:tcW w:w="1010" w:type="pct"/>
            <w:shd w:val="clear" w:color="auto" w:fill="DBE5F1" w:themeFill="accent1" w:themeFillTint="33"/>
            <w:vAlign w:val="center"/>
          </w:tcPr>
          <w:p w14:paraId="7F15AC92"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Egipto</w:t>
            </w:r>
          </w:p>
        </w:tc>
        <w:tc>
          <w:tcPr>
            <w:tcW w:w="842" w:type="pct"/>
            <w:shd w:val="clear" w:color="auto" w:fill="DBE5F1" w:themeFill="accent1" w:themeFillTint="33"/>
            <w:vAlign w:val="center"/>
          </w:tcPr>
          <w:p w14:paraId="7D8A5BD0"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NGO-90581</w:t>
            </w:r>
          </w:p>
        </w:tc>
      </w:tr>
      <w:tr w:rsidR="002E550F" w:rsidRPr="00171323" w14:paraId="176517BD" w14:textId="77777777" w:rsidTr="00F86A5F">
        <w:trPr>
          <w:trHeight w:val="576"/>
        </w:trPr>
        <w:tc>
          <w:tcPr>
            <w:tcW w:w="3148" w:type="pct"/>
            <w:shd w:val="clear" w:color="auto" w:fill="auto"/>
            <w:vAlign w:val="center"/>
          </w:tcPr>
          <w:p w14:paraId="2656ACB5" w14:textId="77777777" w:rsidR="002E550F" w:rsidRPr="00171323" w:rsidRDefault="002E550F" w:rsidP="00F86A5F">
            <w:pPr>
              <w:contextualSpacing/>
              <w:rPr>
                <w:rFonts w:asciiTheme="minorBidi" w:hAnsiTheme="minorBidi" w:cstheme="minorBidi"/>
                <w:sz w:val="20"/>
                <w:szCs w:val="20"/>
              </w:rPr>
            </w:pPr>
            <w:r w:rsidRPr="00171323">
              <w:rPr>
                <w:rFonts w:asciiTheme="minorBidi" w:hAnsiTheme="minorBidi"/>
                <w:b/>
                <w:sz w:val="20"/>
                <w:rtl/>
              </w:rPr>
              <w:t xml:space="preserve">مؤسسه </w:t>
            </w:r>
            <w:proofErr w:type="spellStart"/>
            <w:r w:rsidRPr="00171323">
              <w:rPr>
                <w:rFonts w:asciiTheme="minorBidi" w:hAnsiTheme="minorBidi"/>
                <w:b/>
                <w:sz w:val="20"/>
                <w:rtl/>
              </w:rPr>
              <w:t>فرهنگی</w:t>
            </w:r>
            <w:proofErr w:type="spellEnd"/>
            <w:r w:rsidRPr="00171323">
              <w:rPr>
                <w:rFonts w:asciiTheme="minorBidi" w:hAnsiTheme="minorBidi"/>
                <w:b/>
                <w:sz w:val="20"/>
                <w:rtl/>
              </w:rPr>
              <w:t xml:space="preserve"> </w:t>
            </w:r>
            <w:proofErr w:type="spellStart"/>
            <w:r w:rsidRPr="00171323">
              <w:rPr>
                <w:rFonts w:asciiTheme="minorBidi" w:hAnsiTheme="minorBidi"/>
                <w:b/>
                <w:sz w:val="20"/>
                <w:rtl/>
              </w:rPr>
              <w:t>هنری</w:t>
            </w:r>
            <w:proofErr w:type="spellEnd"/>
            <w:r w:rsidRPr="00171323">
              <w:rPr>
                <w:rFonts w:asciiTheme="minorBidi" w:hAnsiTheme="minorBidi"/>
                <w:b/>
                <w:sz w:val="20"/>
                <w:rtl/>
              </w:rPr>
              <w:t xml:space="preserve"> مانا نقش شهاب</w:t>
            </w:r>
          </w:p>
          <w:p w14:paraId="662C69D4" w14:textId="77777777" w:rsidR="002E550F" w:rsidRPr="00171323" w:rsidRDefault="002E550F" w:rsidP="00F86A5F">
            <w:pPr>
              <w:contextualSpacing/>
              <w:rPr>
                <w:rFonts w:asciiTheme="minorBidi" w:hAnsiTheme="minorBidi" w:cstheme="minorBidi"/>
                <w:b/>
                <w:bCs/>
                <w:sz w:val="20"/>
                <w:szCs w:val="20"/>
                <w:lang w:val="en-US"/>
              </w:rPr>
            </w:pPr>
            <w:r w:rsidRPr="00171323">
              <w:rPr>
                <w:rFonts w:asciiTheme="minorBidi" w:hAnsiTheme="minorBidi"/>
                <w:sz w:val="20"/>
                <w:lang w:val="en-US"/>
              </w:rPr>
              <w:t xml:space="preserve">Mana </w:t>
            </w:r>
            <w:proofErr w:type="spellStart"/>
            <w:r w:rsidRPr="00171323">
              <w:rPr>
                <w:rFonts w:asciiTheme="minorBidi" w:hAnsiTheme="minorBidi"/>
                <w:sz w:val="20"/>
                <w:lang w:val="en-US"/>
              </w:rPr>
              <w:t>Naqsh</w:t>
            </w:r>
            <w:proofErr w:type="spellEnd"/>
            <w:r w:rsidRPr="00171323">
              <w:rPr>
                <w:rFonts w:asciiTheme="minorBidi" w:hAnsiTheme="minorBidi"/>
                <w:sz w:val="20"/>
                <w:lang w:val="en-US"/>
              </w:rPr>
              <w:t xml:space="preserve"> Shahab Art &amp; Culture Institute</w:t>
            </w:r>
          </w:p>
        </w:tc>
        <w:tc>
          <w:tcPr>
            <w:tcW w:w="1010" w:type="pct"/>
            <w:shd w:val="clear" w:color="auto" w:fill="auto"/>
            <w:vAlign w:val="center"/>
          </w:tcPr>
          <w:p w14:paraId="50E4CE32"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Irán (República Islámica del)</w:t>
            </w:r>
          </w:p>
        </w:tc>
        <w:tc>
          <w:tcPr>
            <w:tcW w:w="842" w:type="pct"/>
            <w:shd w:val="clear" w:color="auto" w:fill="auto"/>
            <w:vAlign w:val="center"/>
          </w:tcPr>
          <w:p w14:paraId="74C72861"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NGO-90551</w:t>
            </w:r>
          </w:p>
        </w:tc>
      </w:tr>
      <w:tr w:rsidR="002E550F" w:rsidRPr="00171323" w14:paraId="12B8E222" w14:textId="77777777" w:rsidTr="00F86A5F">
        <w:trPr>
          <w:trHeight w:val="576"/>
        </w:trPr>
        <w:tc>
          <w:tcPr>
            <w:tcW w:w="3148" w:type="pct"/>
            <w:shd w:val="clear" w:color="auto" w:fill="DBE5F1" w:themeFill="accent1" w:themeFillTint="33"/>
            <w:vAlign w:val="center"/>
          </w:tcPr>
          <w:p w14:paraId="1C4C62F0" w14:textId="77777777" w:rsidR="002E550F" w:rsidRPr="00171323" w:rsidRDefault="002E550F" w:rsidP="00F86A5F">
            <w:pPr>
              <w:contextualSpacing/>
              <w:rPr>
                <w:rFonts w:asciiTheme="minorBidi" w:hAnsiTheme="minorBidi" w:cstheme="minorBidi"/>
                <w:b/>
                <w:bCs/>
                <w:sz w:val="20"/>
                <w:szCs w:val="20"/>
              </w:rPr>
            </w:pPr>
            <w:proofErr w:type="spellStart"/>
            <w:r w:rsidRPr="00171323">
              <w:rPr>
                <w:rFonts w:ascii="Nirmala UI" w:hAnsi="Nirmala UI"/>
                <w:b/>
                <w:sz w:val="20"/>
              </w:rPr>
              <w:t>ಕರ್ನಾಟಕ</w:t>
            </w:r>
            <w:proofErr w:type="spellEnd"/>
            <w:r w:rsidRPr="00171323">
              <w:rPr>
                <w:rFonts w:asciiTheme="minorBidi" w:hAnsiTheme="minorBidi"/>
                <w:b/>
                <w:sz w:val="20"/>
              </w:rPr>
              <w:t xml:space="preserve"> </w:t>
            </w:r>
            <w:proofErr w:type="spellStart"/>
            <w:r w:rsidRPr="00171323">
              <w:rPr>
                <w:rFonts w:ascii="Nirmala UI" w:hAnsi="Nirmala UI"/>
                <w:b/>
                <w:sz w:val="20"/>
              </w:rPr>
              <w:t>ಜಾನಪದ</w:t>
            </w:r>
            <w:proofErr w:type="spellEnd"/>
            <w:r w:rsidRPr="00171323">
              <w:rPr>
                <w:rFonts w:asciiTheme="minorBidi" w:hAnsiTheme="minorBidi"/>
                <w:b/>
                <w:sz w:val="20"/>
              </w:rPr>
              <w:t xml:space="preserve"> </w:t>
            </w:r>
            <w:proofErr w:type="spellStart"/>
            <w:r w:rsidRPr="00171323">
              <w:rPr>
                <w:rFonts w:ascii="Nirmala UI" w:hAnsi="Nirmala UI"/>
                <w:b/>
                <w:sz w:val="20"/>
              </w:rPr>
              <w:t>ಪರಿಷತ್ತು</w:t>
            </w:r>
            <w:proofErr w:type="spellEnd"/>
          </w:p>
          <w:p w14:paraId="397C4A49" w14:textId="77777777" w:rsidR="002E550F" w:rsidRPr="00171323" w:rsidRDefault="002E550F" w:rsidP="00F86A5F">
            <w:pPr>
              <w:contextualSpacing/>
              <w:rPr>
                <w:rFonts w:asciiTheme="minorBidi" w:hAnsiTheme="minorBidi" w:cstheme="minorBidi"/>
                <w:sz w:val="20"/>
                <w:szCs w:val="20"/>
              </w:rPr>
            </w:pPr>
            <w:r w:rsidRPr="00171323">
              <w:rPr>
                <w:rFonts w:asciiTheme="minorBidi" w:hAnsiTheme="minorBidi"/>
                <w:sz w:val="20"/>
              </w:rPr>
              <w:t xml:space="preserve">Karnataka </w:t>
            </w:r>
            <w:proofErr w:type="spellStart"/>
            <w:r w:rsidRPr="00171323">
              <w:rPr>
                <w:rFonts w:asciiTheme="minorBidi" w:hAnsiTheme="minorBidi"/>
                <w:sz w:val="20"/>
              </w:rPr>
              <w:t>Janapada</w:t>
            </w:r>
            <w:proofErr w:type="spellEnd"/>
            <w:r w:rsidRPr="00171323">
              <w:rPr>
                <w:rFonts w:asciiTheme="minorBidi" w:hAnsiTheme="minorBidi"/>
                <w:sz w:val="20"/>
              </w:rPr>
              <w:t xml:space="preserve"> </w:t>
            </w:r>
            <w:proofErr w:type="spellStart"/>
            <w:r w:rsidRPr="00171323">
              <w:rPr>
                <w:rFonts w:asciiTheme="minorBidi" w:hAnsiTheme="minorBidi"/>
                <w:sz w:val="20"/>
              </w:rPr>
              <w:t>Parishath</w:t>
            </w:r>
            <w:proofErr w:type="spellEnd"/>
          </w:p>
        </w:tc>
        <w:tc>
          <w:tcPr>
            <w:tcW w:w="1010" w:type="pct"/>
            <w:shd w:val="clear" w:color="auto" w:fill="DBE5F1" w:themeFill="accent1" w:themeFillTint="33"/>
            <w:vAlign w:val="center"/>
          </w:tcPr>
          <w:p w14:paraId="703A95BA" w14:textId="77777777" w:rsidR="002E550F" w:rsidRPr="00171323" w:rsidRDefault="002E550F" w:rsidP="00F86A5F">
            <w:pPr>
              <w:pStyle w:val="Titre7"/>
              <w:jc w:val="center"/>
              <w:rPr>
                <w:rFonts w:asciiTheme="minorBidi" w:hAnsiTheme="minorBidi" w:cstheme="minorBidi"/>
                <w:i w:val="0"/>
                <w:iCs w:val="0"/>
                <w:color w:val="auto"/>
                <w:sz w:val="20"/>
                <w:szCs w:val="20"/>
              </w:rPr>
            </w:pPr>
            <w:r w:rsidRPr="00171323">
              <w:rPr>
                <w:rFonts w:asciiTheme="minorBidi" w:hAnsiTheme="minorBidi"/>
                <w:i w:val="0"/>
                <w:color w:val="auto"/>
                <w:sz w:val="20"/>
              </w:rPr>
              <w:t>India</w:t>
            </w:r>
          </w:p>
        </w:tc>
        <w:tc>
          <w:tcPr>
            <w:tcW w:w="842" w:type="pct"/>
            <w:shd w:val="clear" w:color="auto" w:fill="DBE5F1" w:themeFill="accent1" w:themeFillTint="33"/>
            <w:vAlign w:val="center"/>
          </w:tcPr>
          <w:p w14:paraId="128EFE27" w14:textId="77777777" w:rsidR="002E550F" w:rsidRPr="00171323" w:rsidRDefault="002E550F" w:rsidP="00F86A5F">
            <w:pPr>
              <w:contextualSpacing/>
              <w:jc w:val="center"/>
              <w:rPr>
                <w:rFonts w:asciiTheme="minorBidi" w:hAnsiTheme="minorBidi" w:cstheme="minorBidi"/>
                <w:sz w:val="20"/>
                <w:szCs w:val="20"/>
              </w:rPr>
            </w:pPr>
            <w:r w:rsidRPr="00171323">
              <w:rPr>
                <w:rFonts w:asciiTheme="minorBidi" w:hAnsiTheme="minorBidi"/>
                <w:sz w:val="20"/>
              </w:rPr>
              <w:t>NGO-90550</w:t>
            </w:r>
          </w:p>
        </w:tc>
      </w:tr>
      <w:bookmarkEnd w:id="4"/>
    </w:tbl>
    <w:p w14:paraId="59C7DC29" w14:textId="77777777" w:rsidR="002E550F" w:rsidRPr="00171323" w:rsidRDefault="002E550F" w:rsidP="002E550F">
      <w:pPr>
        <w:rPr>
          <w:rFonts w:asciiTheme="minorBidi" w:hAnsiTheme="minorBidi" w:cstheme="minorBidi"/>
          <w:snapToGrid w:val="0"/>
          <w:u w:val="single"/>
          <w:lang w:val="en-GB" w:eastAsia="en-US"/>
        </w:rPr>
        <w:sectPr w:rsidR="002E550F" w:rsidRPr="00171323" w:rsidSect="00171323">
          <w:pgSz w:w="11906" w:h="16838" w:code="9"/>
          <w:pgMar w:top="1418" w:right="1134" w:bottom="1134" w:left="1134" w:header="397" w:footer="284" w:gutter="0"/>
          <w:cols w:space="708"/>
          <w:docGrid w:linePitch="360"/>
        </w:sectPr>
      </w:pPr>
    </w:p>
    <w:p w14:paraId="3824CA87" w14:textId="74AAD109" w:rsidR="002E550F" w:rsidRPr="00171323" w:rsidRDefault="002E550F" w:rsidP="002E550F">
      <w:pPr>
        <w:pStyle w:val="COMTitleDecision"/>
        <w:ind w:left="0"/>
        <w:rPr>
          <w:rFonts w:eastAsia="SimSun"/>
        </w:rPr>
      </w:pPr>
      <w:r w:rsidRPr="00171323">
        <w:lastRenderedPageBreak/>
        <w:t xml:space="preserve">RESOLUCIÓN 10.GA 9 </w:t>
      </w:r>
      <w:proofErr w:type="spellStart"/>
      <w:r w:rsidRPr="00171323">
        <w:t>Add</w:t>
      </w:r>
      <w:proofErr w:type="spellEnd"/>
      <w:r w:rsidRPr="00171323">
        <w:t>.</w:t>
      </w:r>
    </w:p>
    <w:p w14:paraId="767A6DE3" w14:textId="77777777" w:rsidR="002E550F" w:rsidRPr="00171323" w:rsidRDefault="002E550F" w:rsidP="002E550F">
      <w:pPr>
        <w:pStyle w:val="COMPreambulaDecisions"/>
        <w:ind w:left="0"/>
        <w:rPr>
          <w:rFonts w:eastAsia="SimSun"/>
        </w:rPr>
      </w:pPr>
      <w:r w:rsidRPr="00171323">
        <w:t>La Asamblea General,</w:t>
      </w:r>
    </w:p>
    <w:p w14:paraId="51D69D4B" w14:textId="3C60A0CC" w:rsidR="002E550F" w:rsidRPr="00171323" w:rsidRDefault="002E550F" w:rsidP="002E550F">
      <w:pPr>
        <w:pStyle w:val="GAPara"/>
        <w:numPr>
          <w:ilvl w:val="0"/>
          <w:numId w:val="37"/>
        </w:numPr>
        <w:ind w:left="709" w:hanging="709"/>
        <w:jc w:val="both"/>
      </w:pPr>
      <w:r w:rsidRPr="00171323">
        <w:rPr>
          <w:u w:val="single"/>
        </w:rPr>
        <w:t>Habiendo examinado</w:t>
      </w:r>
      <w:r w:rsidRPr="00171323">
        <w:t xml:space="preserve"> el documento </w:t>
      </w:r>
      <w:hyperlink r:id="rId36" w:history="1">
        <w:r w:rsidRPr="00171323">
          <w:rPr>
            <w:rStyle w:val="Lienhypertexte"/>
          </w:rPr>
          <w:t xml:space="preserve">LHE/24/10.GA/9 </w:t>
        </w:r>
        <w:proofErr w:type="spellStart"/>
        <w:r w:rsidRPr="00171323">
          <w:rPr>
            <w:rStyle w:val="Lienhypertexte"/>
          </w:rPr>
          <w:t>Add</w:t>
        </w:r>
        <w:proofErr w:type="spellEnd"/>
        <w:r w:rsidRPr="00171323">
          <w:rPr>
            <w:rStyle w:val="Lienhypertexte"/>
          </w:rPr>
          <w:t>.</w:t>
        </w:r>
      </w:hyperlink>
      <w:r w:rsidRPr="00171323">
        <w:t>,</w:t>
      </w:r>
    </w:p>
    <w:p w14:paraId="315D1B97" w14:textId="77777777" w:rsidR="002E550F" w:rsidRPr="00171323" w:rsidRDefault="002E550F" w:rsidP="002E550F">
      <w:pPr>
        <w:pStyle w:val="GAPara"/>
        <w:numPr>
          <w:ilvl w:val="0"/>
          <w:numId w:val="37"/>
        </w:numPr>
        <w:ind w:left="709" w:hanging="709"/>
        <w:jc w:val="both"/>
      </w:pPr>
      <w:r w:rsidRPr="00171323">
        <w:rPr>
          <w:u w:val="single"/>
        </w:rPr>
        <w:t>Recordando</w:t>
      </w:r>
      <w:r w:rsidRPr="00171323">
        <w:t xml:space="preserve"> las Resoluciones </w:t>
      </w:r>
      <w:hyperlink r:id="rId37" w:history="1">
        <w:r w:rsidRPr="00171323">
          <w:rPr>
            <w:rStyle w:val="Lienhypertexte"/>
          </w:rPr>
          <w:t>8.GA 12</w:t>
        </w:r>
      </w:hyperlink>
      <w:r w:rsidRPr="00171323">
        <w:rPr>
          <w:rStyle w:val="Lienhypertexte"/>
        </w:rPr>
        <w:t xml:space="preserve"> y </w:t>
      </w:r>
      <w:hyperlink r:id="rId38" w:history="1">
        <w:r w:rsidRPr="00171323">
          <w:rPr>
            <w:rStyle w:val="Lienhypertexte"/>
          </w:rPr>
          <w:t>9.GA 7</w:t>
        </w:r>
      </w:hyperlink>
      <w:r w:rsidRPr="00171323">
        <w:t xml:space="preserve">, así como las Decisiones </w:t>
      </w:r>
      <w:hyperlink r:id="rId39" w:history="1">
        <w:r w:rsidRPr="00171323">
          <w:rPr>
            <w:rStyle w:val="Lienhypertexte"/>
          </w:rPr>
          <w:t>12.COM 13</w:t>
        </w:r>
      </w:hyperlink>
      <w:r w:rsidRPr="00171323">
        <w:t xml:space="preserve">, </w:t>
      </w:r>
      <w:hyperlink r:id="rId40" w:history="1">
        <w:r w:rsidRPr="00171323">
          <w:rPr>
            <w:rStyle w:val="Lienhypertexte"/>
          </w:rPr>
          <w:t>12.COM 17</w:t>
        </w:r>
      </w:hyperlink>
      <w:r w:rsidRPr="00171323">
        <w:t xml:space="preserve">, </w:t>
      </w:r>
      <w:hyperlink r:id="rId41" w:history="1">
        <w:r w:rsidRPr="00171323">
          <w:rPr>
            <w:rStyle w:val="Lienhypertexte"/>
          </w:rPr>
          <w:t>14.COM 15</w:t>
        </w:r>
      </w:hyperlink>
      <w:r w:rsidRPr="00171323">
        <w:rPr>
          <w:rStyle w:val="Lienhypertexte"/>
        </w:rPr>
        <w:t xml:space="preserve"> y </w:t>
      </w:r>
      <w:hyperlink r:id="rId42" w:history="1">
        <w:r w:rsidRPr="00171323">
          <w:rPr>
            <w:rStyle w:val="Lienhypertexte"/>
          </w:rPr>
          <w:t>18.COM 15</w:t>
        </w:r>
      </w:hyperlink>
      <w:r w:rsidRPr="00171323">
        <w:rPr>
          <w:rStyle w:val="Lienhypertexte"/>
        </w:rPr>
        <w:t>,</w:t>
      </w:r>
    </w:p>
    <w:p w14:paraId="5BF8456C" w14:textId="77777777" w:rsidR="002E550F" w:rsidRPr="00171323" w:rsidRDefault="002E550F" w:rsidP="002E550F">
      <w:pPr>
        <w:pStyle w:val="GAPara"/>
        <w:numPr>
          <w:ilvl w:val="0"/>
          <w:numId w:val="9"/>
        </w:numPr>
        <w:ind w:left="709" w:hanging="709"/>
        <w:jc w:val="both"/>
      </w:pPr>
      <w:r w:rsidRPr="00171323">
        <w:rPr>
          <w:u w:val="single"/>
        </w:rPr>
        <w:t>Toma nota</w:t>
      </w:r>
      <w:r w:rsidRPr="00171323">
        <w:t xml:space="preserve"> de la propuesta de plan para garantizar el equilibrio geográfico entre las ONG acreditadas en virtud de la Convención de 2003, incluidos los recursos financieros pertinentes identificados con carácter experimental, y </w:t>
      </w:r>
      <w:r w:rsidRPr="00171323">
        <w:rPr>
          <w:u w:val="single"/>
        </w:rPr>
        <w:t>expresa su agradecimiento</w:t>
      </w:r>
      <w:r w:rsidRPr="00171323">
        <w:t xml:space="preserve"> a los Estados Partes, al Foro de ONG del PCI, a los centros de categoría 2 y a otras partes interesadas por haber aportado sus puntos de vista a través del proceso de consulta;</w:t>
      </w:r>
    </w:p>
    <w:p w14:paraId="5E8C2AB5" w14:textId="77777777" w:rsidR="002E550F" w:rsidRPr="00171323" w:rsidRDefault="002E550F" w:rsidP="002E550F">
      <w:pPr>
        <w:pStyle w:val="GAPara"/>
        <w:numPr>
          <w:ilvl w:val="0"/>
          <w:numId w:val="9"/>
        </w:numPr>
        <w:ind w:left="709" w:hanging="709"/>
        <w:jc w:val="both"/>
      </w:pPr>
      <w:r w:rsidRPr="00171323">
        <w:rPr>
          <w:u w:val="single"/>
        </w:rPr>
        <w:t>Anima</w:t>
      </w:r>
      <w:r w:rsidRPr="00171323">
        <w:t xml:space="preserve"> a la Secretaría, al Foro de ONG del PCI, a los centros de categoría 2 y a otras partes interesadas a poner en práctica el mencionado plan;</w:t>
      </w:r>
    </w:p>
    <w:p w14:paraId="424F3FDD" w14:textId="77777777" w:rsidR="002E550F" w:rsidRPr="00171323" w:rsidRDefault="002E550F" w:rsidP="002E550F">
      <w:pPr>
        <w:pStyle w:val="GAPara"/>
        <w:numPr>
          <w:ilvl w:val="0"/>
          <w:numId w:val="9"/>
        </w:numPr>
        <w:ind w:left="709" w:hanging="709"/>
        <w:jc w:val="both"/>
      </w:pPr>
      <w:r w:rsidRPr="00171323">
        <w:rPr>
          <w:u w:val="single"/>
        </w:rPr>
        <w:t>Pide</w:t>
      </w:r>
      <w:r w:rsidRPr="00171323">
        <w:t xml:space="preserve"> a la Secretaría que informe sobre los resultados de las medidas emprendidas para su examen por la vigésima reunión del Comité en 2025 y la undécima reunión de la Asamblea General en 2026.</w:t>
      </w:r>
    </w:p>
    <w:p w14:paraId="164A0D53" w14:textId="7B9DFFC4" w:rsidR="00A61E8F" w:rsidRPr="00171323" w:rsidRDefault="00A61E8F" w:rsidP="00A61E8F">
      <w:pPr>
        <w:pStyle w:val="COMTitleDecision"/>
        <w:ind w:left="142" w:hanging="142"/>
      </w:pPr>
      <w:r w:rsidRPr="00171323">
        <w:t>RESOLUCIÓN 10.GA 10</w:t>
      </w:r>
    </w:p>
    <w:p w14:paraId="2972399D" w14:textId="77777777" w:rsidR="00C65D26" w:rsidRPr="00171323" w:rsidRDefault="00C65D26" w:rsidP="00C65D26">
      <w:pPr>
        <w:pStyle w:val="COMPreambulaDecisions"/>
        <w:ind w:hanging="567"/>
        <w:rPr>
          <w:rFonts w:eastAsia="SimSun"/>
        </w:rPr>
      </w:pPr>
      <w:r w:rsidRPr="00171323">
        <w:t>La Asamblea General,</w:t>
      </w:r>
    </w:p>
    <w:p w14:paraId="1E1917E6" w14:textId="697274EA" w:rsidR="00C65D26" w:rsidRPr="00171323" w:rsidRDefault="00C65D26" w:rsidP="00C65D26">
      <w:pPr>
        <w:pStyle w:val="COMParaDecision"/>
        <w:keepNext/>
        <w:numPr>
          <w:ilvl w:val="0"/>
          <w:numId w:val="35"/>
        </w:numPr>
        <w:ind w:left="709" w:hanging="709"/>
      </w:pPr>
      <w:r w:rsidRPr="00171323">
        <w:t>Habiendo examinado</w:t>
      </w:r>
      <w:r w:rsidRPr="00171323">
        <w:rPr>
          <w:u w:val="none"/>
        </w:rPr>
        <w:t xml:space="preserve"> el documento </w:t>
      </w:r>
      <w:hyperlink r:id="rId43" w:history="1">
        <w:r w:rsidRPr="00171323">
          <w:rPr>
            <w:rStyle w:val="Lienhypertexte"/>
          </w:rPr>
          <w:t>LHE/24/10.GA/10</w:t>
        </w:r>
      </w:hyperlink>
      <w:r w:rsidRPr="00171323">
        <w:rPr>
          <w:u w:val="none"/>
        </w:rPr>
        <w:t>,</w:t>
      </w:r>
    </w:p>
    <w:p w14:paraId="43B6A08E" w14:textId="77777777" w:rsidR="00C65D26" w:rsidRPr="00171323" w:rsidRDefault="00C65D26" w:rsidP="00C65D26">
      <w:pPr>
        <w:pStyle w:val="COMParaDecision"/>
        <w:ind w:left="709" w:hanging="709"/>
      </w:pPr>
      <w:r w:rsidRPr="00171323">
        <w:t>Recordando</w:t>
      </w:r>
      <w:r w:rsidRPr="00171323">
        <w:rPr>
          <w:u w:val="none"/>
        </w:rPr>
        <w:t xml:space="preserve"> la Resolución </w:t>
      </w:r>
      <w:hyperlink r:id="rId44" w:history="1">
        <w:r w:rsidRPr="00171323">
          <w:rPr>
            <w:rStyle w:val="Lienhypertexte"/>
          </w:rPr>
          <w:t>9.GA 13</w:t>
        </w:r>
      </w:hyperlink>
      <w:r w:rsidRPr="00171323">
        <w:rPr>
          <w:u w:val="none"/>
        </w:rPr>
        <w:t xml:space="preserve"> y la Decisión </w:t>
      </w:r>
      <w:hyperlink r:id="rId45" w:history="1">
        <w:r w:rsidRPr="00171323">
          <w:rPr>
            <w:rStyle w:val="Lienhypertexte"/>
          </w:rPr>
          <w:t>18.COM 6</w:t>
        </w:r>
      </w:hyperlink>
      <w:r w:rsidRPr="00171323">
        <w:rPr>
          <w:rStyle w:val="Lienhypertexte"/>
          <w:u w:val="none"/>
        </w:rPr>
        <w:t>,</w:t>
      </w:r>
    </w:p>
    <w:p w14:paraId="503A44CC" w14:textId="77777777" w:rsidR="00C65D26" w:rsidRPr="00171323" w:rsidRDefault="00C65D26" w:rsidP="00C65D26">
      <w:pPr>
        <w:pStyle w:val="COMParaDecision"/>
        <w:ind w:left="709" w:hanging="709"/>
      </w:pPr>
      <w:r w:rsidRPr="00171323">
        <w:t>Recordando además</w:t>
      </w:r>
      <w:r w:rsidRPr="00171323">
        <w:rPr>
          <w:u w:val="none"/>
        </w:rPr>
        <w:t xml:space="preserve"> la </w:t>
      </w:r>
      <w:hyperlink r:id="rId46" w:history="1">
        <w:r w:rsidRPr="00171323">
          <w:rPr>
            <w:rStyle w:val="Lienhypertexte"/>
          </w:rPr>
          <w:t>42 C/Resolución 34</w:t>
        </w:r>
      </w:hyperlink>
      <w:r w:rsidRPr="00171323">
        <w:rPr>
          <w:u w:val="none"/>
        </w:rPr>
        <w:t xml:space="preserve"> de la Conferencia General de la UNESCO,</w:t>
      </w:r>
    </w:p>
    <w:p w14:paraId="666E1E73" w14:textId="77777777" w:rsidR="00C65D26" w:rsidRPr="00171323" w:rsidRDefault="00C65D26" w:rsidP="00C65D26">
      <w:pPr>
        <w:pStyle w:val="COMParaDecision"/>
        <w:ind w:left="709" w:hanging="709"/>
      </w:pPr>
      <w:r w:rsidRPr="00171323">
        <w:t>Acoge con satisfacción</w:t>
      </w:r>
      <w:r w:rsidRPr="00171323">
        <w:rPr>
          <w:u w:val="none"/>
        </w:rPr>
        <w:t xml:space="preserve"> la proclamación del 17 de octubre como Día Internacional del Patrimonio Cultural Inmaterial;</w:t>
      </w:r>
    </w:p>
    <w:p w14:paraId="2993018A" w14:textId="77777777" w:rsidR="00C65D26" w:rsidRPr="00171323" w:rsidRDefault="00C65D26" w:rsidP="00C65D26">
      <w:pPr>
        <w:pStyle w:val="COMParaDecision"/>
        <w:ind w:left="709" w:hanging="709"/>
        <w:rPr>
          <w:u w:val="none"/>
        </w:rPr>
      </w:pPr>
      <w:r w:rsidRPr="00171323">
        <w:t>Elogia</w:t>
      </w:r>
      <w:r w:rsidRPr="00171323">
        <w:rPr>
          <w:u w:val="none"/>
        </w:rPr>
        <w:t xml:space="preserve"> las actividades emprendidas en todos los grupos electorales, en los ámbitos nacional, regional e internacional, en el contexto de la celebración del 20º aniversario de la Convención, incluidas las conferencias, los festivales, las reuniones de expertos, las exposiciones, las publicaciones y las campañas de sensibilización, entre otras;</w:t>
      </w:r>
    </w:p>
    <w:p w14:paraId="07AEC3DB" w14:textId="77777777" w:rsidR="00C65D26" w:rsidRPr="00171323" w:rsidRDefault="00C65D26" w:rsidP="00C65D26">
      <w:pPr>
        <w:pStyle w:val="COMParaDecision"/>
        <w:ind w:left="709" w:hanging="709"/>
        <w:rPr>
          <w:u w:val="none"/>
        </w:rPr>
      </w:pPr>
      <w:r w:rsidRPr="00171323">
        <w:t>Expresa</w:t>
      </w:r>
      <w:r w:rsidRPr="00171323">
        <w:rPr>
          <w:u w:val="none"/>
        </w:rPr>
        <w:t xml:space="preserve"> su gratitud a la República de Corea por acoger en Seúl la reunión mundial con motivo del veintésimo aniversario de la Convención de 2003 y </w:t>
      </w:r>
      <w:r w:rsidRPr="00171323">
        <w:t>acoge con satisfacción</w:t>
      </w:r>
      <w:r w:rsidRPr="00171323">
        <w:rPr>
          <w:u w:val="none"/>
        </w:rPr>
        <w:t xml:space="preserve"> las medidas que cabe adoptar en el futuro señaladas en la “Visión de Seúl para el Futuro de la Salvaguardia del Patrimonio Vivo para el Desarrollo Sostenible y la Paz”;</w:t>
      </w:r>
    </w:p>
    <w:p w14:paraId="569C6F4A" w14:textId="77777777" w:rsidR="00C65D26" w:rsidRPr="00171323" w:rsidRDefault="00C65D26" w:rsidP="00C65D26">
      <w:pPr>
        <w:pStyle w:val="COMParaDecision"/>
        <w:ind w:left="709" w:hanging="709"/>
      </w:pPr>
      <w:r w:rsidRPr="00171323">
        <w:t xml:space="preserve">Expresa también su gratitud </w:t>
      </w:r>
      <w:r w:rsidRPr="00171323">
        <w:rPr>
          <w:u w:val="none"/>
        </w:rPr>
        <w:t>a Italia por haber acogido la Conferencia de Nápoles sobre el Patrimonio Cultural en el Siglo XXI y acoge también con satisfacción el llamamiento a la acción resultante, que establece 11 principios fundamentales para garantizar una visión prospectiva de la salvaguardia del patrimonio;</w:t>
      </w:r>
    </w:p>
    <w:p w14:paraId="4A6655B4" w14:textId="77777777" w:rsidR="00C65D26" w:rsidRPr="00171323" w:rsidRDefault="00C65D26" w:rsidP="00C65D26">
      <w:pPr>
        <w:pStyle w:val="COMParaDecision"/>
        <w:ind w:left="709" w:hanging="709"/>
      </w:pPr>
      <w:r w:rsidRPr="00171323">
        <w:t>Expresa además</w:t>
      </w:r>
      <w:r w:rsidRPr="00171323">
        <w:rPr>
          <w:u w:val="none"/>
        </w:rPr>
        <w:t xml:space="preserve"> su gratitud a los Estados Partes de América Latina y el Caribe por las iniciativas regionales de reflexión sobre los logros y la evolución futura de la Convención, incluida una conferencia celebrada en la Sede de la UNESCO, una reunión de expertos organizada en Perú en cooperación con el centro de categoría 2 CRESPIAL, y el lanzamiento de una publicación que recopila los resultados de la reflexión regional;</w:t>
      </w:r>
    </w:p>
    <w:p w14:paraId="52F2C2D7" w14:textId="77777777" w:rsidR="00C65D26" w:rsidRPr="00171323" w:rsidRDefault="00C65D26" w:rsidP="00C65D26">
      <w:pPr>
        <w:pStyle w:val="COMParaDecision"/>
        <w:ind w:left="709" w:hanging="709"/>
        <w:rPr>
          <w:u w:val="none"/>
        </w:rPr>
      </w:pPr>
      <w:r w:rsidRPr="00171323">
        <w:t>Agradece</w:t>
      </w:r>
      <w:r w:rsidRPr="00171323">
        <w:rPr>
          <w:u w:val="none"/>
        </w:rPr>
        <w:t xml:space="preserve"> a los Estados Partes que han aportado generosamente apoyo extrapresupuestario o en especie para la celebración del 20º aniversario de la Convención;</w:t>
      </w:r>
    </w:p>
    <w:p w14:paraId="462993E3" w14:textId="77777777" w:rsidR="00C65D26" w:rsidRPr="00171323" w:rsidRDefault="00C65D26" w:rsidP="00C65D26">
      <w:pPr>
        <w:pStyle w:val="COMParaDecision"/>
        <w:ind w:left="709" w:hanging="709"/>
      </w:pPr>
      <w:r w:rsidRPr="00171323">
        <w:t>Expresa su agradecimiento</w:t>
      </w:r>
      <w:r w:rsidRPr="00171323">
        <w:rPr>
          <w:u w:val="none"/>
        </w:rPr>
        <w:t xml:space="preserve"> a la Secretaría, a todos los </w:t>
      </w:r>
      <w:proofErr w:type="gramStart"/>
      <w:r w:rsidRPr="00171323">
        <w:rPr>
          <w:u w:val="none"/>
        </w:rPr>
        <w:t>Estados Partes</w:t>
      </w:r>
      <w:proofErr w:type="gramEnd"/>
      <w:r w:rsidRPr="00171323">
        <w:rPr>
          <w:u w:val="none"/>
        </w:rPr>
        <w:t>, a las comunidades y a otras partes interesadas por su participación activa en la celebración a lo largo de todo el año del aniversario, en particular en la promoción de los objetivos de la Convención, el balance de los logros pasados y el estudio del futuro avance de la Convención.</w:t>
      </w:r>
    </w:p>
    <w:p w14:paraId="1A0C205D" w14:textId="533A6996" w:rsidR="00A61E8F" w:rsidRPr="00171323" w:rsidRDefault="00A61E8F" w:rsidP="00A61E8F">
      <w:pPr>
        <w:pStyle w:val="COMTitleDecision"/>
        <w:ind w:left="142" w:hanging="142"/>
      </w:pPr>
      <w:r w:rsidRPr="00171323">
        <w:lastRenderedPageBreak/>
        <w:t>RESOLUCIÓN 10.GA 11</w:t>
      </w:r>
    </w:p>
    <w:p w14:paraId="526CA595" w14:textId="77777777" w:rsidR="00912A11" w:rsidRPr="00171323" w:rsidRDefault="00912A11" w:rsidP="00912A11">
      <w:pPr>
        <w:pStyle w:val="COMPreambulaDecisions"/>
        <w:ind w:hanging="567"/>
        <w:rPr>
          <w:rFonts w:eastAsia="SimSun"/>
        </w:rPr>
      </w:pPr>
      <w:r w:rsidRPr="00171323">
        <w:t>La Asamblea General,</w:t>
      </w:r>
    </w:p>
    <w:p w14:paraId="2D1913BB" w14:textId="70886BF3" w:rsidR="00912A11" w:rsidRPr="00171323" w:rsidRDefault="00912A11" w:rsidP="00912A11">
      <w:pPr>
        <w:pStyle w:val="COMParaDecision"/>
        <w:numPr>
          <w:ilvl w:val="0"/>
          <w:numId w:val="36"/>
        </w:numPr>
        <w:ind w:left="709" w:hanging="709"/>
      </w:pPr>
      <w:r w:rsidRPr="00171323">
        <w:t>Habiendo examinado</w:t>
      </w:r>
      <w:r w:rsidRPr="00171323">
        <w:rPr>
          <w:u w:val="none"/>
        </w:rPr>
        <w:t xml:space="preserve"> el documento </w:t>
      </w:r>
      <w:hyperlink r:id="rId47" w:history="1">
        <w:r w:rsidRPr="00171323">
          <w:rPr>
            <w:rStyle w:val="Lienhypertexte"/>
          </w:rPr>
          <w:t>LHE/24/10.GA/11</w:t>
        </w:r>
      </w:hyperlink>
      <w:r w:rsidRPr="00171323">
        <w:rPr>
          <w:u w:val="none"/>
        </w:rPr>
        <w:t>,</w:t>
      </w:r>
    </w:p>
    <w:p w14:paraId="3616B52A" w14:textId="77777777" w:rsidR="00912A11" w:rsidRPr="00171323" w:rsidRDefault="00912A11" w:rsidP="00912A11">
      <w:pPr>
        <w:pStyle w:val="COMParaDecision"/>
        <w:ind w:left="709" w:hanging="709"/>
      </w:pPr>
      <w:r w:rsidRPr="00171323">
        <w:t>Recordando</w:t>
      </w:r>
      <w:r w:rsidRPr="00171323">
        <w:rPr>
          <w:u w:val="none"/>
        </w:rPr>
        <w:t xml:space="preserve"> los Artículos 5, 6 y 26.5 de la Convención y los Artículos 35, 36 y 37 de su Reglamento,</w:t>
      </w:r>
    </w:p>
    <w:p w14:paraId="2030E9FF" w14:textId="77777777" w:rsidR="00912A11" w:rsidRPr="00171323" w:rsidRDefault="00912A11" w:rsidP="00912A11">
      <w:pPr>
        <w:pStyle w:val="COMParaDecision"/>
        <w:ind w:left="709" w:hanging="709"/>
        <w:jc w:val="left"/>
      </w:pPr>
      <w:r w:rsidRPr="00171323">
        <w:t>Recordando además</w:t>
      </w:r>
      <w:r w:rsidRPr="00171323">
        <w:rPr>
          <w:u w:val="none"/>
        </w:rPr>
        <w:t xml:space="preserve"> la Resolución 10.GA 4,</w:t>
      </w:r>
    </w:p>
    <w:p w14:paraId="0F8D9808" w14:textId="77777777" w:rsidR="00912A11" w:rsidRPr="00171323" w:rsidRDefault="00912A11" w:rsidP="00912A11">
      <w:pPr>
        <w:pStyle w:val="COMParaDecision"/>
        <w:keepNext/>
        <w:ind w:left="709" w:hanging="709"/>
      </w:pPr>
      <w:r w:rsidRPr="00171323">
        <w:t>Elige</w:t>
      </w:r>
      <w:r w:rsidRPr="00171323">
        <w:rPr>
          <w:u w:val="none"/>
        </w:rPr>
        <w:t xml:space="preserve"> a los doce Estados Partes siguientes miembros del Comité Intergubernamental para la Salvaguardia del Patrimonio Cultural Inmaterial por un periodo de cuatro años a partir de la fecha de su elección:</w:t>
      </w:r>
    </w:p>
    <w:p w14:paraId="460E2DD1" w14:textId="7B26DB4D" w:rsidR="00912A11" w:rsidRPr="00171323" w:rsidRDefault="00912A11" w:rsidP="00912A11">
      <w:pPr>
        <w:pStyle w:val="COMParaDecision"/>
        <w:numPr>
          <w:ilvl w:val="0"/>
          <w:numId w:val="0"/>
        </w:numPr>
        <w:ind w:left="709"/>
        <w:rPr>
          <w:u w:val="none"/>
        </w:rPr>
      </w:pPr>
      <w:r w:rsidRPr="00171323">
        <w:rPr>
          <w:u w:val="none"/>
        </w:rPr>
        <w:t>Grupo I:</w:t>
      </w:r>
      <w:r w:rsidR="00B0400B" w:rsidRPr="00171323">
        <w:rPr>
          <w:u w:val="none"/>
        </w:rPr>
        <w:t xml:space="preserve"> España, Francia</w:t>
      </w:r>
    </w:p>
    <w:p w14:paraId="29008CA2" w14:textId="2A65AF15" w:rsidR="00912A11" w:rsidRPr="00171323" w:rsidRDefault="00912A11" w:rsidP="00912A11">
      <w:pPr>
        <w:pStyle w:val="COMParaDecision"/>
        <w:numPr>
          <w:ilvl w:val="0"/>
          <w:numId w:val="0"/>
        </w:numPr>
        <w:ind w:left="709"/>
        <w:rPr>
          <w:u w:val="none"/>
        </w:rPr>
      </w:pPr>
      <w:r w:rsidRPr="00171323">
        <w:rPr>
          <w:u w:val="none"/>
        </w:rPr>
        <w:t>Grupo II:</w:t>
      </w:r>
      <w:r w:rsidR="00B0400B" w:rsidRPr="00171323">
        <w:rPr>
          <w:u w:val="none"/>
        </w:rPr>
        <w:t xml:space="preserve"> Ucrania</w:t>
      </w:r>
    </w:p>
    <w:p w14:paraId="151FF74C" w14:textId="3A126859" w:rsidR="00912A11" w:rsidRPr="00171323" w:rsidRDefault="00912A11" w:rsidP="00912A11">
      <w:pPr>
        <w:pStyle w:val="COMParaDecision"/>
        <w:numPr>
          <w:ilvl w:val="0"/>
          <w:numId w:val="0"/>
        </w:numPr>
        <w:ind w:left="709"/>
        <w:rPr>
          <w:u w:val="none"/>
        </w:rPr>
      </w:pPr>
      <w:r w:rsidRPr="00171323">
        <w:rPr>
          <w:u w:val="none"/>
        </w:rPr>
        <w:t>Grupo III:</w:t>
      </w:r>
      <w:r w:rsidR="00B0400B" w:rsidRPr="00171323">
        <w:rPr>
          <w:u w:val="none"/>
        </w:rPr>
        <w:t xml:space="preserve"> Barbados, </w:t>
      </w:r>
      <w:r w:rsidR="00B41A52" w:rsidRPr="00171323">
        <w:rPr>
          <w:u w:val="none"/>
        </w:rPr>
        <w:t>Haití</w:t>
      </w:r>
      <w:r w:rsidR="00B0400B" w:rsidRPr="00171323">
        <w:rPr>
          <w:u w:val="none"/>
        </w:rPr>
        <w:t>, República dominicana</w:t>
      </w:r>
    </w:p>
    <w:p w14:paraId="065EED4A" w14:textId="27C1F8CB" w:rsidR="00912A11" w:rsidRPr="00171323" w:rsidRDefault="00912A11" w:rsidP="00912A11">
      <w:pPr>
        <w:pStyle w:val="COMParaDecision"/>
        <w:numPr>
          <w:ilvl w:val="0"/>
          <w:numId w:val="0"/>
        </w:numPr>
        <w:ind w:left="709"/>
        <w:rPr>
          <w:u w:val="none"/>
        </w:rPr>
      </w:pPr>
      <w:r w:rsidRPr="00171323">
        <w:rPr>
          <w:u w:val="none"/>
        </w:rPr>
        <w:t>Grupo IV:</w:t>
      </w:r>
      <w:r w:rsidR="00B0400B" w:rsidRPr="00171323">
        <w:rPr>
          <w:u w:val="none"/>
        </w:rPr>
        <w:t xml:space="preserve"> China</w:t>
      </w:r>
    </w:p>
    <w:p w14:paraId="02C1D8B9" w14:textId="34C186B9" w:rsidR="00912A11" w:rsidRPr="00171323" w:rsidRDefault="00912A11" w:rsidP="00912A11">
      <w:pPr>
        <w:pStyle w:val="COMParaDecision"/>
        <w:numPr>
          <w:ilvl w:val="0"/>
          <w:numId w:val="0"/>
        </w:numPr>
        <w:ind w:left="709"/>
        <w:rPr>
          <w:u w:val="none"/>
        </w:rPr>
      </w:pPr>
      <w:r w:rsidRPr="00171323">
        <w:rPr>
          <w:u w:val="none"/>
        </w:rPr>
        <w:t>Grupo V(a):</w:t>
      </w:r>
      <w:r w:rsidR="00B0400B" w:rsidRPr="00171323">
        <w:rPr>
          <w:u w:val="none"/>
        </w:rPr>
        <w:t xml:space="preserve"> Nigeria, </w:t>
      </w:r>
      <w:r w:rsidR="00B41A52" w:rsidRPr="00171323">
        <w:rPr>
          <w:u w:val="none"/>
        </w:rPr>
        <w:t xml:space="preserve">Uganda, </w:t>
      </w:r>
      <w:r w:rsidR="00B0400B" w:rsidRPr="00171323">
        <w:rPr>
          <w:u w:val="none"/>
        </w:rPr>
        <w:t>Zambia</w:t>
      </w:r>
    </w:p>
    <w:p w14:paraId="1B08DF9D" w14:textId="3014AC65" w:rsidR="00190205" w:rsidRPr="009238B3" w:rsidRDefault="00912A11" w:rsidP="00171323">
      <w:pPr>
        <w:pStyle w:val="COMParaDecision"/>
        <w:numPr>
          <w:ilvl w:val="0"/>
          <w:numId w:val="0"/>
        </w:numPr>
        <w:ind w:left="709"/>
        <w:rPr>
          <w:u w:val="none"/>
          <w:lang w:val="pt-PT"/>
        </w:rPr>
      </w:pPr>
      <w:r w:rsidRPr="009238B3">
        <w:rPr>
          <w:u w:val="none"/>
          <w:lang w:val="pt-PT"/>
        </w:rPr>
        <w:t>Grupo V(b):</w:t>
      </w:r>
      <w:r w:rsidR="00B0400B" w:rsidRPr="009238B3">
        <w:rPr>
          <w:u w:val="none"/>
          <w:lang w:val="pt-PT"/>
        </w:rPr>
        <w:t xml:space="preserve"> Argelia, Emiratos árabes unidos</w:t>
      </w:r>
    </w:p>
    <w:sectPr w:rsidR="00190205" w:rsidRPr="009238B3" w:rsidSect="00655736">
      <w:headerReference w:type="even" r:id="rId48"/>
      <w:headerReference w:type="default" r:id="rId49"/>
      <w:headerReference w:type="first" r:id="rId5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F85E" w14:textId="77777777" w:rsidR="002E550F" w:rsidRPr="00C23A97" w:rsidRDefault="002E550F">
    <w:pPr>
      <w:pStyle w:val="En-tte"/>
      <w:rPr>
        <w:rFonts w:ascii="Arial" w:hAnsi="Arial" w:cs="Arial"/>
      </w:rPr>
    </w:pPr>
    <w:r>
      <w:rPr>
        <w:rFonts w:ascii="Arial" w:hAnsi="Arial"/>
        <w:sz w:val="20"/>
      </w:rPr>
      <w:t xml:space="preserve">LHE/24/10.GA/9 – página </w:t>
    </w:r>
    <w:r w:rsidRPr="00C23A97">
      <w:rPr>
        <w:rStyle w:val="Numrodepage"/>
        <w:rFonts w:ascii="Arial" w:hAnsi="Arial" w:cs="Arial"/>
        <w:sz w:val="20"/>
      </w:rPr>
      <w:fldChar w:fldCharType="begin"/>
    </w:r>
    <w:r w:rsidRPr="00C23A97">
      <w:rPr>
        <w:rStyle w:val="Numrodepage"/>
        <w:rFonts w:ascii="Arial" w:hAnsi="Arial" w:cs="Arial"/>
        <w:sz w:val="20"/>
      </w:rPr>
      <w:instrText xml:space="preserve"> PAGE </w:instrText>
    </w:r>
    <w:r w:rsidRPr="00C23A97">
      <w:rPr>
        <w:rStyle w:val="Numrodepage"/>
        <w:rFonts w:ascii="Arial" w:hAnsi="Arial" w:cs="Arial"/>
        <w:sz w:val="20"/>
      </w:rPr>
      <w:fldChar w:fldCharType="separate"/>
    </w:r>
    <w:r>
      <w:rPr>
        <w:rStyle w:val="Numrodepage"/>
        <w:rFonts w:ascii="Arial" w:hAnsi="Arial" w:cs="Arial"/>
        <w:sz w:val="20"/>
      </w:rPr>
      <w:t>2</w:t>
    </w:r>
    <w:r w:rsidRPr="00C23A97">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EE95" w14:textId="17F96496" w:rsidR="002E550F" w:rsidRPr="0063300C" w:rsidRDefault="002E550F" w:rsidP="0063300C">
    <w:pPr>
      <w:pStyle w:val="En-tte"/>
      <w:jc w:val="right"/>
      <w:rPr>
        <w:rFonts w:ascii="Arial" w:hAnsi="Arial" w:cs="Arial"/>
      </w:rPr>
    </w:pPr>
    <w:r>
      <w:rPr>
        <w:rFonts w:ascii="Arial" w:hAnsi="Arial"/>
        <w:sz w:val="20"/>
      </w:rPr>
      <w:t>LHE/24/10.GA/</w:t>
    </w:r>
    <w:r w:rsidR="00171323">
      <w:rPr>
        <w:rFonts w:ascii="Arial" w:hAnsi="Arial"/>
        <w:sz w:val="20"/>
      </w:rPr>
      <w:t>Resoluciones</w:t>
    </w:r>
    <w:r>
      <w:rPr>
        <w:rFonts w:ascii="Arial" w:hAnsi="Arial"/>
        <w:sz w:val="20"/>
      </w:rPr>
      <w:t xml:space="preserve"> – página </w:t>
    </w:r>
    <w:r w:rsidRPr="0063300C">
      <w:rPr>
        <w:rStyle w:val="Numrodepage"/>
        <w:rFonts w:ascii="Arial" w:hAnsi="Arial" w:cs="Arial"/>
        <w:sz w:val="20"/>
      </w:rPr>
      <w:fldChar w:fldCharType="begin"/>
    </w:r>
    <w:r w:rsidRPr="0063300C">
      <w:rPr>
        <w:rStyle w:val="Numrodepage"/>
        <w:rFonts w:ascii="Arial" w:hAnsi="Arial" w:cs="Arial"/>
        <w:sz w:val="20"/>
      </w:rPr>
      <w:instrText xml:space="preserve"> PAGE </w:instrText>
    </w:r>
    <w:r w:rsidRPr="0063300C">
      <w:rPr>
        <w:rStyle w:val="Numrodepage"/>
        <w:rFonts w:ascii="Arial" w:hAnsi="Arial" w:cs="Arial"/>
        <w:sz w:val="20"/>
      </w:rPr>
      <w:fldChar w:fldCharType="separate"/>
    </w:r>
    <w:r>
      <w:rPr>
        <w:rStyle w:val="Numrodepage"/>
        <w:rFonts w:ascii="Arial" w:hAnsi="Arial" w:cs="Arial"/>
        <w:sz w:val="20"/>
      </w:rPr>
      <w:t>3</w:t>
    </w:r>
    <w:r w:rsidRPr="0063300C">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9349" w14:textId="77777777" w:rsidR="002E550F" w:rsidRPr="008724E5" w:rsidRDefault="002E550F">
    <w:pPr>
      <w:pStyle w:val="En-tte"/>
    </w:pPr>
    <w:r>
      <w:rPr>
        <w:noProof/>
      </w:rPr>
      <w:drawing>
        <wp:anchor distT="0" distB="0" distL="114300" distR="114300" simplePos="0" relativeHeight="251663360" behindDoc="0" locked="0" layoutInCell="1" allowOverlap="1" wp14:anchorId="644FD70F" wp14:editId="65FA4E70">
          <wp:simplePos x="0" y="0"/>
          <wp:positionH relativeFrom="margin">
            <wp:posOffset>0</wp:posOffset>
          </wp:positionH>
          <wp:positionV relativeFrom="paragraph">
            <wp:posOffset>-28575</wp:posOffset>
          </wp:positionV>
          <wp:extent cx="1709420" cy="1439545"/>
          <wp:effectExtent l="0" t="0" r="5080" b="8255"/>
          <wp:wrapSquare wrapText="bothSides"/>
          <wp:docPr id="2040534117"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D2FCA" w14:textId="77777777" w:rsidR="002E550F" w:rsidRPr="00171323" w:rsidRDefault="002E550F" w:rsidP="00655736">
    <w:pPr>
      <w:pStyle w:val="En-tte"/>
      <w:spacing w:after="520"/>
      <w:jc w:val="right"/>
      <w:rPr>
        <w:rFonts w:ascii="Arial" w:hAnsi="Arial" w:cs="Arial"/>
        <w:b/>
        <w:sz w:val="44"/>
        <w:szCs w:val="44"/>
        <w:lang w:val="pt-PT"/>
      </w:rPr>
    </w:pPr>
    <w:r w:rsidRPr="00171323">
      <w:rPr>
        <w:rFonts w:ascii="Arial" w:hAnsi="Arial"/>
        <w:b/>
        <w:sz w:val="44"/>
        <w:lang w:val="pt-PT"/>
      </w:rPr>
      <w:t>10 GA</w:t>
    </w:r>
  </w:p>
  <w:p w14:paraId="63EF0ACF" w14:textId="77777777" w:rsidR="002E550F" w:rsidRPr="00171323" w:rsidRDefault="002E550F" w:rsidP="00655736">
    <w:pPr>
      <w:jc w:val="right"/>
      <w:rPr>
        <w:rFonts w:ascii="Arial" w:hAnsi="Arial" w:cs="Arial"/>
        <w:b/>
        <w:sz w:val="22"/>
        <w:szCs w:val="22"/>
        <w:lang w:val="pt-PT"/>
      </w:rPr>
    </w:pPr>
    <w:r w:rsidRPr="00171323">
      <w:rPr>
        <w:rFonts w:ascii="Arial" w:hAnsi="Arial"/>
        <w:b/>
        <w:sz w:val="22"/>
        <w:lang w:val="pt-PT"/>
      </w:rPr>
      <w:t>LHE/24/10.GA/9</w:t>
    </w:r>
  </w:p>
  <w:p w14:paraId="647E8A67" w14:textId="1A2AB52C" w:rsidR="002E550F" w:rsidRPr="00171323" w:rsidRDefault="002E550F" w:rsidP="00655736">
    <w:pPr>
      <w:jc w:val="right"/>
      <w:rPr>
        <w:rFonts w:ascii="Arial" w:hAnsi="Arial" w:cs="Arial"/>
        <w:b/>
        <w:sz w:val="22"/>
        <w:szCs w:val="22"/>
        <w:lang w:val="pt-PT"/>
      </w:rPr>
    </w:pPr>
    <w:r w:rsidRPr="00171323">
      <w:rPr>
        <w:rFonts w:ascii="Arial" w:hAnsi="Arial"/>
        <w:b/>
        <w:sz w:val="22"/>
        <w:lang w:val="pt-PT"/>
      </w:rPr>
      <w:t xml:space="preserve">París, </w:t>
    </w:r>
    <w:r w:rsidR="001D4B9D" w:rsidRPr="00B4133D">
      <w:rPr>
        <w:rFonts w:ascii="Arial" w:hAnsi="Arial"/>
        <w:b/>
        <w:sz w:val="22"/>
        <w:lang w:val="pt-PT"/>
      </w:rPr>
      <w:t>1</w:t>
    </w:r>
    <w:r w:rsidR="006D18BC" w:rsidRPr="00B4133D">
      <w:rPr>
        <w:rFonts w:ascii="Arial" w:hAnsi="Arial"/>
        <w:b/>
        <w:sz w:val="22"/>
        <w:lang w:val="pt-PT"/>
      </w:rPr>
      <w:t xml:space="preserve">8 </w:t>
    </w:r>
    <w:r w:rsidR="00CA7DB9" w:rsidRPr="00B4133D">
      <w:rPr>
        <w:rFonts w:ascii="Arial" w:hAnsi="Arial"/>
        <w:b/>
        <w:sz w:val="22"/>
        <w:lang w:val="pt-PT"/>
      </w:rPr>
      <w:t>de</w:t>
    </w:r>
    <w:r w:rsidRPr="00171323">
      <w:rPr>
        <w:rFonts w:ascii="Arial" w:hAnsi="Arial"/>
        <w:b/>
        <w:sz w:val="22"/>
        <w:lang w:val="pt-PT"/>
      </w:rPr>
      <w:t xml:space="preserve"> </w:t>
    </w:r>
    <w:r w:rsidR="001D4B9D">
      <w:rPr>
        <w:rFonts w:ascii="Arial" w:hAnsi="Arial"/>
        <w:b/>
        <w:sz w:val="22"/>
        <w:lang w:val="pt-PT"/>
      </w:rPr>
      <w:t>julio</w:t>
    </w:r>
    <w:r w:rsidR="0029148A" w:rsidRPr="00171323">
      <w:rPr>
        <w:rFonts w:ascii="Arial" w:hAnsi="Arial"/>
        <w:b/>
        <w:sz w:val="22"/>
        <w:lang w:val="pt-PT"/>
      </w:rPr>
      <w:t xml:space="preserve"> de </w:t>
    </w:r>
    <w:r w:rsidRPr="00171323">
      <w:rPr>
        <w:rFonts w:ascii="Arial" w:hAnsi="Arial"/>
        <w:b/>
        <w:sz w:val="22"/>
        <w:lang w:val="pt-PT"/>
      </w:rPr>
      <w:t>2024</w:t>
    </w:r>
  </w:p>
  <w:p w14:paraId="65907E23" w14:textId="77777777" w:rsidR="002E550F" w:rsidRDefault="002E550F" w:rsidP="00703FBF">
    <w:pPr>
      <w:jc w:val="right"/>
      <w:rPr>
        <w:rFonts w:ascii="Arial" w:hAnsi="Arial" w:cs="Arial"/>
        <w:b/>
        <w:sz w:val="22"/>
        <w:szCs w:val="22"/>
      </w:rPr>
    </w:pPr>
    <w:r>
      <w:rPr>
        <w:rFonts w:ascii="Arial" w:hAnsi="Arial"/>
        <w:b/>
        <w:sz w:val="22"/>
      </w:rPr>
      <w:t>Original: inglés</w:t>
    </w:r>
  </w:p>
  <w:p w14:paraId="7343F40E" w14:textId="77777777" w:rsidR="002E550F" w:rsidRPr="00B4133D" w:rsidRDefault="002E550F" w:rsidP="00540F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2C58FA34" w:rsidR="00D95C4C" w:rsidRPr="00C23A97" w:rsidRDefault="00C5776D" w:rsidP="00C5776D">
    <w:pPr>
      <w:pStyle w:val="En-tte"/>
      <w:rPr>
        <w:rFonts w:ascii="Arial" w:hAnsi="Arial" w:cs="Arial"/>
      </w:rPr>
    </w:pPr>
    <w:r>
      <w:rPr>
        <w:rFonts w:ascii="Arial" w:hAnsi="Arial"/>
        <w:sz w:val="20"/>
      </w:rPr>
      <w:t>LHE/24/10.GA/</w:t>
    </w:r>
    <w:r w:rsidR="00A61E8F">
      <w:rPr>
        <w:rFonts w:ascii="Arial" w:hAnsi="Arial"/>
        <w:sz w:val="20"/>
      </w:rPr>
      <w:t>Resoluciones</w:t>
    </w:r>
    <w:r>
      <w:rPr>
        <w:rFonts w:ascii="Arial" w:hAnsi="Arial"/>
        <w:sz w:val="20"/>
      </w:rPr>
      <w:t xml:space="preserve"> – página </w:t>
    </w:r>
    <w:r w:rsidR="00D95C4C" w:rsidRPr="00C23A97">
      <w:rPr>
        <w:rStyle w:val="Numrodepage"/>
        <w:rFonts w:ascii="Arial" w:hAnsi="Arial" w:cs="Arial"/>
        <w:sz w:val="20"/>
      </w:rPr>
      <w:fldChar w:fldCharType="begin"/>
    </w:r>
    <w:r w:rsidR="00D95C4C" w:rsidRPr="00C23A97">
      <w:rPr>
        <w:rStyle w:val="Numrodepage"/>
        <w:rFonts w:ascii="Arial" w:hAnsi="Arial" w:cs="Arial"/>
        <w:sz w:val="20"/>
      </w:rPr>
      <w:instrText xml:space="preserve"> PAGE </w:instrText>
    </w:r>
    <w:r w:rsidR="00D95C4C" w:rsidRPr="00C23A97">
      <w:rPr>
        <w:rStyle w:val="Numrodepage"/>
        <w:rFonts w:ascii="Arial" w:hAnsi="Arial" w:cs="Arial"/>
        <w:sz w:val="20"/>
      </w:rPr>
      <w:fldChar w:fldCharType="separate"/>
    </w:r>
    <w:r w:rsidR="006E75EB">
      <w:rPr>
        <w:rStyle w:val="Numrodepage"/>
        <w:rFonts w:ascii="Arial" w:hAnsi="Arial" w:cs="Arial"/>
        <w:sz w:val="20"/>
      </w:rPr>
      <w:t>2</w:t>
    </w:r>
    <w:r w:rsidR="00D95C4C" w:rsidRPr="00C23A97">
      <w:rPr>
        <w:rStyle w:val="Numrodepage"/>
        <w:rFonts w:ascii="Arial" w:hAnsi="Arial" w:cs="Arial"/>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3CFB21F1" w:rsidR="00D95C4C" w:rsidRPr="0063300C" w:rsidRDefault="00C5776D" w:rsidP="00C5776D">
    <w:pPr>
      <w:pStyle w:val="En-tte"/>
      <w:jc w:val="right"/>
      <w:rPr>
        <w:rFonts w:ascii="Arial" w:hAnsi="Arial" w:cs="Arial"/>
      </w:rPr>
    </w:pPr>
    <w:r>
      <w:rPr>
        <w:rFonts w:ascii="Arial" w:hAnsi="Arial"/>
        <w:sz w:val="20"/>
      </w:rPr>
      <w:t>LHE/24/10.GA/</w:t>
    </w:r>
    <w:r w:rsidR="009647E8">
      <w:rPr>
        <w:rFonts w:ascii="Arial" w:hAnsi="Arial"/>
        <w:sz w:val="20"/>
      </w:rPr>
      <w:t>Resoluciones</w:t>
    </w:r>
    <w:r>
      <w:rPr>
        <w:rFonts w:ascii="Arial" w:hAnsi="Arial"/>
        <w:sz w:val="20"/>
      </w:rPr>
      <w:t xml:space="preserve"> – página </w:t>
    </w:r>
    <w:r w:rsidR="004A34A0" w:rsidRPr="0063300C">
      <w:rPr>
        <w:rStyle w:val="Numrodepage"/>
        <w:rFonts w:ascii="Arial" w:hAnsi="Arial" w:cs="Arial"/>
        <w:sz w:val="20"/>
      </w:rPr>
      <w:fldChar w:fldCharType="begin"/>
    </w:r>
    <w:r w:rsidR="004A34A0" w:rsidRPr="0063300C">
      <w:rPr>
        <w:rStyle w:val="Numrodepage"/>
        <w:rFonts w:ascii="Arial" w:hAnsi="Arial" w:cs="Arial"/>
        <w:sz w:val="20"/>
      </w:rPr>
      <w:instrText xml:space="preserve"> PAGE </w:instrText>
    </w:r>
    <w:r w:rsidR="004A34A0" w:rsidRPr="0063300C">
      <w:rPr>
        <w:rStyle w:val="Numrodepage"/>
        <w:rFonts w:ascii="Arial" w:hAnsi="Arial" w:cs="Arial"/>
        <w:sz w:val="20"/>
      </w:rPr>
      <w:fldChar w:fldCharType="separate"/>
    </w:r>
    <w:r w:rsidR="00190205">
      <w:rPr>
        <w:rStyle w:val="Numrodepage"/>
        <w:rFonts w:ascii="Arial" w:hAnsi="Arial" w:cs="Arial"/>
        <w:sz w:val="20"/>
      </w:rPr>
      <w:t>3</w:t>
    </w:r>
    <w:r w:rsidR="004A34A0" w:rsidRPr="0063300C">
      <w:rPr>
        <w:rStyle w:val="Numrodepage"/>
        <w:rFonts w:ascii="Arial" w:hAnsi="Arial" w:cs="Arial"/>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7849" w14:textId="77777777" w:rsidR="007F171D" w:rsidRPr="00E95AE2" w:rsidRDefault="007F171D" w:rsidP="0029148A">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33ED1"/>
    <w:multiLevelType w:val="hybridMultilevel"/>
    <w:tmpl w:val="BC885424"/>
    <w:lvl w:ilvl="0" w:tplc="67464068">
      <w:start w:val="1"/>
      <w:numFmt w:val="lowerLetter"/>
      <w:lvlText w:val="(%1)"/>
      <w:lvlJc w:val="left"/>
      <w:pPr>
        <w:ind w:left="720" w:hanging="360"/>
      </w:pPr>
      <w:rPr>
        <w:rFonts w:asciiTheme="minorBidi" w:eastAsia="Yu Mincho" w:hAnsiTheme="minorBidi" w:cs="Arial"/>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295216A"/>
    <w:multiLevelType w:val="hybridMultilevel"/>
    <w:tmpl w:val="02E2FD2C"/>
    <w:lvl w:ilvl="0" w:tplc="D626FAFA">
      <w:start w:val="1"/>
      <w:numFmt w:val="lowerLetter"/>
      <w:lvlText w:val="%1)"/>
      <w:lvlJc w:val="left"/>
      <w:pPr>
        <w:ind w:left="3195" w:hanging="360"/>
      </w:pPr>
      <w:rPr>
        <w:rFonts w:hint="default"/>
        <w:u w:val="none"/>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D7B3D50"/>
    <w:multiLevelType w:val="hybridMultilevel"/>
    <w:tmpl w:val="D3DE81A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FE522C5"/>
    <w:multiLevelType w:val="hybridMultilevel"/>
    <w:tmpl w:val="D4D2177C"/>
    <w:lvl w:ilvl="0" w:tplc="FFFFFFFF">
      <w:start w:val="1"/>
      <w:numFmt w:val="lowerLetter"/>
      <w:lvlText w:val="%1)"/>
      <w:lvlJc w:val="left"/>
      <w:pPr>
        <w:ind w:left="1494" w:hanging="360"/>
      </w:pPr>
      <w:rPr>
        <w:rFonts w:hint="default"/>
        <w:u w:val="no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4"/>
  </w:num>
  <w:num w:numId="2" w16cid:durableId="699629408">
    <w:abstractNumId w:val="7"/>
  </w:num>
  <w:num w:numId="3" w16cid:durableId="164177712">
    <w:abstractNumId w:val="3"/>
  </w:num>
  <w:num w:numId="4" w16cid:durableId="1416590798">
    <w:abstractNumId w:val="17"/>
  </w:num>
  <w:num w:numId="5" w16cid:durableId="1762608160">
    <w:abstractNumId w:val="16"/>
  </w:num>
  <w:num w:numId="6" w16cid:durableId="2146270374">
    <w:abstractNumId w:val="1"/>
  </w:num>
  <w:num w:numId="7" w16cid:durableId="1113592211">
    <w:abstractNumId w:val="4"/>
  </w:num>
  <w:num w:numId="8" w16cid:durableId="1920598164">
    <w:abstractNumId w:val="12"/>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8"/>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2"/>
  </w:num>
  <w:num w:numId="22" w16cid:durableId="2046514942">
    <w:abstractNumId w:val="6"/>
  </w:num>
  <w:num w:numId="23" w16cid:durableId="1379696628">
    <w:abstractNumId w:val="8"/>
    <w:lvlOverride w:ilvl="0">
      <w:startOverride w:val="1"/>
    </w:lvlOverride>
  </w:num>
  <w:num w:numId="24" w16cid:durableId="1691756114">
    <w:abstractNumId w:val="13"/>
  </w:num>
  <w:num w:numId="25" w16cid:durableId="1850367290">
    <w:abstractNumId w:val="8"/>
  </w:num>
  <w:num w:numId="26" w16cid:durableId="759330329">
    <w:abstractNumId w:val="11"/>
  </w:num>
  <w:num w:numId="27" w16cid:durableId="1982884627">
    <w:abstractNumId w:val="8"/>
    <w:lvlOverride w:ilvl="0">
      <w:startOverride w:val="1"/>
    </w:lvlOverride>
  </w:num>
  <w:num w:numId="28" w16cid:durableId="1290474131">
    <w:abstractNumId w:val="8"/>
    <w:lvlOverride w:ilvl="0">
      <w:startOverride w:val="1"/>
    </w:lvlOverride>
  </w:num>
  <w:num w:numId="29" w16cid:durableId="932474616">
    <w:abstractNumId w:val="8"/>
    <w:lvlOverride w:ilvl="0">
      <w:startOverride w:val="1"/>
    </w:lvlOverride>
  </w:num>
  <w:num w:numId="30" w16cid:durableId="1556888994">
    <w:abstractNumId w:val="8"/>
  </w:num>
  <w:num w:numId="31" w16cid:durableId="1096366148">
    <w:abstractNumId w:val="8"/>
    <w:lvlOverride w:ilvl="0">
      <w:startOverride w:val="1"/>
    </w:lvlOverride>
  </w:num>
  <w:num w:numId="32" w16cid:durableId="1990205046">
    <w:abstractNumId w:val="8"/>
    <w:lvlOverride w:ilvl="0">
      <w:startOverride w:val="1"/>
    </w:lvlOverride>
  </w:num>
  <w:num w:numId="33" w16cid:durableId="1478450887">
    <w:abstractNumId w:val="8"/>
  </w:num>
  <w:num w:numId="34" w16cid:durableId="1367488256">
    <w:abstractNumId w:val="8"/>
    <w:lvlOverride w:ilvl="0">
      <w:startOverride w:val="1"/>
    </w:lvlOverride>
  </w:num>
  <w:num w:numId="35" w16cid:durableId="1670475346">
    <w:abstractNumId w:val="8"/>
    <w:lvlOverride w:ilvl="0">
      <w:startOverride w:val="1"/>
    </w:lvlOverride>
  </w:num>
  <w:num w:numId="36" w16cid:durableId="1668824306">
    <w:abstractNumId w:val="8"/>
    <w:lvlOverride w:ilvl="0">
      <w:startOverride w:val="1"/>
    </w:lvlOverride>
  </w:num>
  <w:num w:numId="37" w16cid:durableId="517236548">
    <w:abstractNumId w:val="6"/>
    <w:lvlOverride w:ilvl="0">
      <w:startOverride w:val="1"/>
    </w:lvlOverride>
  </w:num>
  <w:num w:numId="38" w16cid:durableId="155195370">
    <w:abstractNumId w:val="15"/>
  </w:num>
  <w:num w:numId="39" w16cid:durableId="2013603031">
    <w:abstractNumId w:val="0"/>
  </w:num>
  <w:num w:numId="40" w16cid:durableId="1334526658">
    <w:abstractNumId w:val="8"/>
  </w:num>
  <w:num w:numId="41" w16cid:durableId="178813155">
    <w:abstractNumId w:val="8"/>
  </w:num>
  <w:num w:numId="42" w16cid:durableId="959725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3000E"/>
    <w:rsid w:val="00041A66"/>
    <w:rsid w:val="00042D88"/>
    <w:rsid w:val="0005176E"/>
    <w:rsid w:val="000765F7"/>
    <w:rsid w:val="0007725F"/>
    <w:rsid w:val="00077AB7"/>
    <w:rsid w:val="00081CD8"/>
    <w:rsid w:val="000875B4"/>
    <w:rsid w:val="00095807"/>
    <w:rsid w:val="000A7F0E"/>
    <w:rsid w:val="000B1C8F"/>
    <w:rsid w:val="000C0D61"/>
    <w:rsid w:val="000F3A3F"/>
    <w:rsid w:val="00102557"/>
    <w:rsid w:val="00147A38"/>
    <w:rsid w:val="00164D56"/>
    <w:rsid w:val="00167B10"/>
    <w:rsid w:val="00171323"/>
    <w:rsid w:val="001731BC"/>
    <w:rsid w:val="0017402F"/>
    <w:rsid w:val="00190161"/>
    <w:rsid w:val="00190205"/>
    <w:rsid w:val="00196C1B"/>
    <w:rsid w:val="001B0F73"/>
    <w:rsid w:val="001C2DB7"/>
    <w:rsid w:val="001D14FE"/>
    <w:rsid w:val="001D4B9D"/>
    <w:rsid w:val="001D5C04"/>
    <w:rsid w:val="001E6CB1"/>
    <w:rsid w:val="001F26CF"/>
    <w:rsid w:val="00222A2D"/>
    <w:rsid w:val="00223029"/>
    <w:rsid w:val="00234745"/>
    <w:rsid w:val="002351A6"/>
    <w:rsid w:val="002407AF"/>
    <w:rsid w:val="00245501"/>
    <w:rsid w:val="002540D0"/>
    <w:rsid w:val="00254B26"/>
    <w:rsid w:val="0026221A"/>
    <w:rsid w:val="0027466B"/>
    <w:rsid w:val="002814F6"/>
    <w:rsid w:val="002838A5"/>
    <w:rsid w:val="00285BB4"/>
    <w:rsid w:val="0029148A"/>
    <w:rsid w:val="002C09E3"/>
    <w:rsid w:val="002C6A2C"/>
    <w:rsid w:val="002D1244"/>
    <w:rsid w:val="002E550F"/>
    <w:rsid w:val="00337CEB"/>
    <w:rsid w:val="00344B58"/>
    <w:rsid w:val="0034539A"/>
    <w:rsid w:val="00345CB4"/>
    <w:rsid w:val="003731FD"/>
    <w:rsid w:val="00375D42"/>
    <w:rsid w:val="003D069C"/>
    <w:rsid w:val="003D7646"/>
    <w:rsid w:val="003F113A"/>
    <w:rsid w:val="003F3E63"/>
    <w:rsid w:val="00402F34"/>
    <w:rsid w:val="00407480"/>
    <w:rsid w:val="00414643"/>
    <w:rsid w:val="004313C4"/>
    <w:rsid w:val="004421E5"/>
    <w:rsid w:val="00452284"/>
    <w:rsid w:val="00457C8E"/>
    <w:rsid w:val="00472D98"/>
    <w:rsid w:val="00480175"/>
    <w:rsid w:val="004856CA"/>
    <w:rsid w:val="00487E67"/>
    <w:rsid w:val="004906B7"/>
    <w:rsid w:val="0049705E"/>
    <w:rsid w:val="004A2875"/>
    <w:rsid w:val="004A34A0"/>
    <w:rsid w:val="004C7C82"/>
    <w:rsid w:val="005008A8"/>
    <w:rsid w:val="00517FD8"/>
    <w:rsid w:val="00526B7B"/>
    <w:rsid w:val="005274D2"/>
    <w:rsid w:val="005308CE"/>
    <w:rsid w:val="0053318C"/>
    <w:rsid w:val="0054535F"/>
    <w:rsid w:val="005568DF"/>
    <w:rsid w:val="0057439C"/>
    <w:rsid w:val="005960FA"/>
    <w:rsid w:val="005B0127"/>
    <w:rsid w:val="005B7A35"/>
    <w:rsid w:val="005C4B73"/>
    <w:rsid w:val="005C792B"/>
    <w:rsid w:val="005E1D2B"/>
    <w:rsid w:val="005E7074"/>
    <w:rsid w:val="005F2BAF"/>
    <w:rsid w:val="00600D93"/>
    <w:rsid w:val="00601D09"/>
    <w:rsid w:val="00626BEA"/>
    <w:rsid w:val="00626C52"/>
    <w:rsid w:val="0063300C"/>
    <w:rsid w:val="00651A5B"/>
    <w:rsid w:val="00655736"/>
    <w:rsid w:val="00663B8D"/>
    <w:rsid w:val="00687FA7"/>
    <w:rsid w:val="00696C8D"/>
    <w:rsid w:val="006A20BD"/>
    <w:rsid w:val="006A2AC2"/>
    <w:rsid w:val="006A3617"/>
    <w:rsid w:val="006A6B1F"/>
    <w:rsid w:val="006B4452"/>
    <w:rsid w:val="006D18BC"/>
    <w:rsid w:val="006E3A91"/>
    <w:rsid w:val="006E46E4"/>
    <w:rsid w:val="006E75EB"/>
    <w:rsid w:val="00717DA5"/>
    <w:rsid w:val="007333D0"/>
    <w:rsid w:val="00744484"/>
    <w:rsid w:val="00747566"/>
    <w:rsid w:val="0077073C"/>
    <w:rsid w:val="00771B6E"/>
    <w:rsid w:val="00773188"/>
    <w:rsid w:val="00783782"/>
    <w:rsid w:val="00784B8C"/>
    <w:rsid w:val="007879E1"/>
    <w:rsid w:val="007C02EB"/>
    <w:rsid w:val="007E57AA"/>
    <w:rsid w:val="007F171D"/>
    <w:rsid w:val="008017DA"/>
    <w:rsid w:val="00823A11"/>
    <w:rsid w:val="00842F8F"/>
    <w:rsid w:val="00843BB9"/>
    <w:rsid w:val="0085405E"/>
    <w:rsid w:val="0085414A"/>
    <w:rsid w:val="00857EB9"/>
    <w:rsid w:val="0086269D"/>
    <w:rsid w:val="0086543A"/>
    <w:rsid w:val="008724E5"/>
    <w:rsid w:val="008765C9"/>
    <w:rsid w:val="00881DE7"/>
    <w:rsid w:val="00884A9D"/>
    <w:rsid w:val="0088512B"/>
    <w:rsid w:val="008A2B2D"/>
    <w:rsid w:val="008A4E1E"/>
    <w:rsid w:val="008A6458"/>
    <w:rsid w:val="008B3C4C"/>
    <w:rsid w:val="008C296C"/>
    <w:rsid w:val="008C369E"/>
    <w:rsid w:val="008D33AD"/>
    <w:rsid w:val="008D4305"/>
    <w:rsid w:val="008E1A85"/>
    <w:rsid w:val="008E344F"/>
    <w:rsid w:val="008F053F"/>
    <w:rsid w:val="008F6B48"/>
    <w:rsid w:val="00912A11"/>
    <w:rsid w:val="009163A7"/>
    <w:rsid w:val="009238B3"/>
    <w:rsid w:val="00937D53"/>
    <w:rsid w:val="00946D0B"/>
    <w:rsid w:val="00955877"/>
    <w:rsid w:val="00962034"/>
    <w:rsid w:val="009647E8"/>
    <w:rsid w:val="00994FA4"/>
    <w:rsid w:val="009A18CD"/>
    <w:rsid w:val="009B6229"/>
    <w:rsid w:val="009D5428"/>
    <w:rsid w:val="009E1B8A"/>
    <w:rsid w:val="00A026E2"/>
    <w:rsid w:val="00A12558"/>
    <w:rsid w:val="00A13903"/>
    <w:rsid w:val="00A34ED5"/>
    <w:rsid w:val="00A45DBF"/>
    <w:rsid w:val="00A61E8F"/>
    <w:rsid w:val="00A725CF"/>
    <w:rsid w:val="00A755A2"/>
    <w:rsid w:val="00A91430"/>
    <w:rsid w:val="00A92469"/>
    <w:rsid w:val="00AA590D"/>
    <w:rsid w:val="00AA6660"/>
    <w:rsid w:val="00AB2C36"/>
    <w:rsid w:val="00AB6DDE"/>
    <w:rsid w:val="00AB70B6"/>
    <w:rsid w:val="00AC18C1"/>
    <w:rsid w:val="00AD1A86"/>
    <w:rsid w:val="00AD5C46"/>
    <w:rsid w:val="00AE103E"/>
    <w:rsid w:val="00AF0A07"/>
    <w:rsid w:val="00AF4AEC"/>
    <w:rsid w:val="00AF625E"/>
    <w:rsid w:val="00B0400B"/>
    <w:rsid w:val="00B139BE"/>
    <w:rsid w:val="00B2172B"/>
    <w:rsid w:val="00B34428"/>
    <w:rsid w:val="00B4133D"/>
    <w:rsid w:val="00B41A52"/>
    <w:rsid w:val="00B677BB"/>
    <w:rsid w:val="00B917D2"/>
    <w:rsid w:val="00B97EB3"/>
    <w:rsid w:val="00BA241A"/>
    <w:rsid w:val="00BB04AF"/>
    <w:rsid w:val="00BB6EEC"/>
    <w:rsid w:val="00BD52C9"/>
    <w:rsid w:val="00BE6354"/>
    <w:rsid w:val="00C04A22"/>
    <w:rsid w:val="00C138D1"/>
    <w:rsid w:val="00C23A97"/>
    <w:rsid w:val="00C52EBE"/>
    <w:rsid w:val="00C5776D"/>
    <w:rsid w:val="00C64855"/>
    <w:rsid w:val="00C65D26"/>
    <w:rsid w:val="00C70EA7"/>
    <w:rsid w:val="00C7433F"/>
    <w:rsid w:val="00C7516E"/>
    <w:rsid w:val="00C75770"/>
    <w:rsid w:val="00CA56BB"/>
    <w:rsid w:val="00CA7DB9"/>
    <w:rsid w:val="00CB0542"/>
    <w:rsid w:val="00D00B2B"/>
    <w:rsid w:val="00D15AC1"/>
    <w:rsid w:val="00D24877"/>
    <w:rsid w:val="00D4244A"/>
    <w:rsid w:val="00D63318"/>
    <w:rsid w:val="00D64D9C"/>
    <w:rsid w:val="00D7105A"/>
    <w:rsid w:val="00D8250F"/>
    <w:rsid w:val="00D8542B"/>
    <w:rsid w:val="00D86BB3"/>
    <w:rsid w:val="00D95C4C"/>
    <w:rsid w:val="00DA36ED"/>
    <w:rsid w:val="00DC49CB"/>
    <w:rsid w:val="00DC52F5"/>
    <w:rsid w:val="00DE34F1"/>
    <w:rsid w:val="00DE6160"/>
    <w:rsid w:val="00DF4942"/>
    <w:rsid w:val="00E1406C"/>
    <w:rsid w:val="00E2125F"/>
    <w:rsid w:val="00E244E1"/>
    <w:rsid w:val="00E4150C"/>
    <w:rsid w:val="00E47BC5"/>
    <w:rsid w:val="00E627B1"/>
    <w:rsid w:val="00E70169"/>
    <w:rsid w:val="00E83AAF"/>
    <w:rsid w:val="00E9376C"/>
    <w:rsid w:val="00E95AE2"/>
    <w:rsid w:val="00EA335E"/>
    <w:rsid w:val="00EA528C"/>
    <w:rsid w:val="00EA580C"/>
    <w:rsid w:val="00EC6F8D"/>
    <w:rsid w:val="00ED39B2"/>
    <w:rsid w:val="00EE49F4"/>
    <w:rsid w:val="00EF34E2"/>
    <w:rsid w:val="00F246F3"/>
    <w:rsid w:val="00F30DC6"/>
    <w:rsid w:val="00F31F96"/>
    <w:rsid w:val="00F32C23"/>
    <w:rsid w:val="00F40300"/>
    <w:rsid w:val="00F536B8"/>
    <w:rsid w:val="00F53DE9"/>
    <w:rsid w:val="00F576CB"/>
    <w:rsid w:val="00F7035D"/>
    <w:rsid w:val="00F70CC5"/>
    <w:rsid w:val="00F71A02"/>
    <w:rsid w:val="00FA0D16"/>
    <w:rsid w:val="00FA0D63"/>
    <w:rsid w:val="00FD1226"/>
    <w:rsid w:val="00FD4BC8"/>
    <w:rsid w:val="00FF1C9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paragraph" w:styleId="Titre7">
    <w:name w:val="heading 7"/>
    <w:basedOn w:val="Normal"/>
    <w:next w:val="Normal"/>
    <w:link w:val="Titre7Car"/>
    <w:uiPriority w:val="9"/>
    <w:semiHidden/>
    <w:unhideWhenUsed/>
    <w:qFormat/>
    <w:rsid w:val="002E550F"/>
    <w:pPr>
      <w:keepNext/>
      <w:keepLines/>
      <w:spacing w:before="40"/>
      <w:outlineLvl w:val="6"/>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uiPriority w:val="9"/>
    <w:semiHidden/>
    <w:unhideWhenUsed/>
    <w:qFormat/>
    <w:rsid w:val="002E55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Normal"/>
    <w:uiPriority w:val="34"/>
    <w:qFormat/>
    <w:rsid w:val="004A2875"/>
    <w:pPr>
      <w:ind w:left="720"/>
      <w:contextualSpacing/>
    </w:p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vision">
    <w:name w:val="Revision"/>
    <w:hidden/>
    <w:uiPriority w:val="99"/>
    <w:semiHidden/>
    <w:rsid w:val="0003000E"/>
    <w:rPr>
      <w:rFonts w:ascii="Times New Roman" w:eastAsia="Times New Roman" w:hAnsi="Times New Roman"/>
      <w:sz w:val="24"/>
      <w:szCs w:val="24"/>
    </w:rPr>
  </w:style>
  <w:style w:type="character" w:styleId="Lienhypertexte">
    <w:name w:val="Hyperlink"/>
    <w:aliases w:val=" Car Car3 Char, Car Car3 Char Char Char Char"/>
    <w:basedOn w:val="Policepardfaut"/>
    <w:link w:val="CarCar3"/>
    <w:unhideWhenUsed/>
    <w:rsid w:val="006A6B1F"/>
    <w:rPr>
      <w:color w:val="0000FF" w:themeColor="hyperlink"/>
      <w:u w:val="single"/>
    </w:rPr>
  </w:style>
  <w:style w:type="paragraph" w:customStyle="1" w:styleId="CarCar3">
    <w:name w:val="Car Car3"/>
    <w:aliases w:val=" Car Car3 Char Char"/>
    <w:basedOn w:val="Normal"/>
    <w:link w:val="Lienhypertexte"/>
    <w:rsid w:val="00A61E8F"/>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rPr>
  </w:style>
  <w:style w:type="character" w:customStyle="1" w:styleId="Aucun">
    <w:name w:val="Aucun"/>
    <w:rsid w:val="00A61E8F"/>
    <w:rPr>
      <w:lang w:val="es-ES"/>
    </w:rPr>
  </w:style>
  <w:style w:type="paragraph" w:customStyle="1" w:styleId="GAPreambulaResolution">
    <w:name w:val="GA Preambula Resolution"/>
    <w:basedOn w:val="Normal"/>
    <w:qFormat/>
    <w:rsid w:val="00771B6E"/>
    <w:pPr>
      <w:keepNext/>
      <w:spacing w:after="120"/>
      <w:ind w:left="567"/>
      <w:jc w:val="both"/>
    </w:pPr>
    <w:rPr>
      <w:rFonts w:ascii="Arial" w:hAnsi="Arial" w:cs="Arial"/>
      <w:sz w:val="22"/>
      <w:szCs w:val="22"/>
    </w:rPr>
  </w:style>
  <w:style w:type="character" w:customStyle="1" w:styleId="Titre7Car">
    <w:name w:val="Titre 7 Car"/>
    <w:basedOn w:val="Policepardfaut"/>
    <w:link w:val="Titre7"/>
    <w:uiPriority w:val="9"/>
    <w:semiHidden/>
    <w:rsid w:val="002E550F"/>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uiPriority w:val="9"/>
    <w:semiHidden/>
    <w:rsid w:val="002E550F"/>
    <w:rPr>
      <w:rFonts w:asciiTheme="majorHAnsi" w:eastAsiaTheme="majorEastAsia" w:hAnsiTheme="majorHAnsi" w:cstheme="majorBidi"/>
      <w:i/>
      <w:iCs/>
      <w:color w:val="272727" w:themeColor="text1" w:themeTint="D8"/>
      <w:sz w:val="21"/>
      <w:szCs w:val="21"/>
    </w:rPr>
  </w:style>
  <w:style w:type="paragraph" w:customStyle="1" w:styleId="GAPara">
    <w:name w:val="GA Para"/>
    <w:qFormat/>
    <w:rsid w:val="002E550F"/>
    <w:pPr>
      <w:spacing w:after="120"/>
      <w:ind w:left="927" w:hanging="360"/>
    </w:pPr>
    <w:rPr>
      <w:rFonts w:ascii="Arial" w:eastAsia="Times New Roman" w:hAnsi="Arial" w:cs="Arial"/>
      <w:snapToGrid w:val="0"/>
      <w:sz w:val="22"/>
      <w:szCs w:val="22"/>
      <w:lang w:eastAsia="en-US"/>
    </w:rPr>
  </w:style>
  <w:style w:type="table" w:customStyle="1" w:styleId="Grilledutableau2">
    <w:name w:val="Grille du tableau2"/>
    <w:basedOn w:val="TableauNormal"/>
    <w:next w:val="Grilledutableau"/>
    <w:uiPriority w:val="39"/>
    <w:rsid w:val="001E6CB1"/>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1E6CB1"/>
    <w:pPr>
      <w:widowControl w:val="0"/>
      <w:tabs>
        <w:tab w:val="left" w:pos="2127"/>
        <w:tab w:val="left" w:pos="2176"/>
      </w:tabs>
      <w:autoSpaceDE w:val="0"/>
      <w:autoSpaceDN w:val="0"/>
      <w:spacing w:before="60" w:after="60"/>
    </w:pPr>
    <w:rPr>
      <w:rFonts w:ascii="Calibri" w:eastAsia="Calibri" w:hAnsi="Calibri" w:cs="Calibri"/>
      <w:color w:val="231F20"/>
      <w:sz w:val="20"/>
      <w:szCs w:val="22"/>
      <w:lang w:eastAsia="en-US"/>
    </w:rPr>
  </w:style>
  <w:style w:type="character" w:customStyle="1" w:styleId="CorpsdetexteCar">
    <w:name w:val="Corps de texte Car"/>
    <w:basedOn w:val="Policepardfaut"/>
    <w:link w:val="Corpsdetexte"/>
    <w:uiPriority w:val="99"/>
    <w:rsid w:val="001E6CB1"/>
    <w:rPr>
      <w:rFonts w:eastAsia="Calibri" w:cs="Calibri"/>
      <w:color w:val="231F20"/>
      <w:szCs w:val="22"/>
      <w:lang w:eastAsia="en-US"/>
    </w:rPr>
  </w:style>
  <w:style w:type="character" w:styleId="Mentionnonrsolue">
    <w:name w:val="Unresolved Mention"/>
    <w:basedOn w:val="Policepardfaut"/>
    <w:uiPriority w:val="99"/>
    <w:semiHidden/>
    <w:unhideWhenUsed/>
    <w:rsid w:val="00CA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6_6.GA-Resolutions_SP.docx" TargetMode="External"/><Relationship Id="rId18" Type="http://schemas.openxmlformats.org/officeDocument/2006/relationships/hyperlink" Target="https://ich.unesco.org/en/decisions/18.COM/7.C" TargetMode="External"/><Relationship Id="rId26" Type="http://schemas.openxmlformats.org/officeDocument/2006/relationships/hyperlink" Target="https://ich.unesco.org/en/decisions/18.COM/11" TargetMode="External"/><Relationship Id="rId39" Type="http://schemas.openxmlformats.org/officeDocument/2006/relationships/hyperlink" Target="https://ich.unesco.org/en/Decisions/12.COM/13" TargetMode="External"/><Relationship Id="rId3" Type="http://schemas.openxmlformats.org/officeDocument/2006/relationships/styles" Target="styles.xml"/><Relationship Id="rId21" Type="http://schemas.openxmlformats.org/officeDocument/2006/relationships/hyperlink" Target="https://ich.unesco.org/doc/src/LHE-24-10.GA-7_SP.docx" TargetMode="External"/><Relationship Id="rId34" Type="http://schemas.openxmlformats.org/officeDocument/2006/relationships/hyperlink" Target="https://ich.unesco.org/doc/src/LHE-24-10.GA-9_SP.docx" TargetMode="External"/><Relationship Id="rId42" Type="http://schemas.openxmlformats.org/officeDocument/2006/relationships/hyperlink" Target="https://ich.unesco.org/en/decisions/18.COM/15" TargetMode="External"/><Relationship Id="rId47" Type="http://schemas.openxmlformats.org/officeDocument/2006/relationships/hyperlink" Target="https://ich.unesco.org/doc/src/LHE-24-10.GA-11_SP.docx" TargetMode="Externa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ich.unesco.org/doc/src/LHE-24-10.GA-5_SP.docx" TargetMode="External"/><Relationship Id="rId17" Type="http://schemas.openxmlformats.org/officeDocument/2006/relationships/hyperlink" Target="https://ich.unesco.org/en/decisions/17.COM/15" TargetMode="External"/><Relationship Id="rId25" Type="http://schemas.openxmlformats.org/officeDocument/2006/relationships/hyperlink" Target="https://ich.unesco.org/en/decisions/18.COM/10" TargetMode="External"/><Relationship Id="rId33" Type="http://schemas.openxmlformats.org/officeDocument/2006/relationships/hyperlink" Target="https://ich.unesco.org/en/decisions/10.COM/8" TargetMode="External"/><Relationship Id="rId38" Type="http://schemas.openxmlformats.org/officeDocument/2006/relationships/hyperlink" Target="https://ich.unesco.org/doc/src/LHE-22-9.GA-Resolutions-ES.docx" TargetMode="External"/><Relationship Id="rId46" Type="http://schemas.openxmlformats.org/officeDocument/2006/relationships/hyperlink" Target="https://unesdoc.unesco.org/ark:/48223/pf0000388394" TargetMode="External"/><Relationship Id="rId2" Type="http://schemas.openxmlformats.org/officeDocument/2006/relationships/numbering" Target="numbering.xml"/><Relationship Id="rId16" Type="http://schemas.openxmlformats.org/officeDocument/2006/relationships/hyperlink" Target="https://ich.unesco.org/en/decisions/9.GA/6" TargetMode="External"/><Relationship Id="rId20" Type="http://schemas.openxmlformats.org/officeDocument/2006/relationships/hyperlink" Target="https://unesdoc.unesco.org/ark:/48223/pf0000389517_spa" TargetMode="External"/><Relationship Id="rId29" Type="http://schemas.openxmlformats.org/officeDocument/2006/relationships/header" Target="header3.xml"/><Relationship Id="rId41" Type="http://schemas.openxmlformats.org/officeDocument/2006/relationships/hyperlink" Target="https://ich.unesco.org/en/Decisions/14.COM/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07003-ES.doc" TargetMode="External"/><Relationship Id="rId24" Type="http://schemas.openxmlformats.org/officeDocument/2006/relationships/hyperlink" Target="https://ich.unesco.org/en/Decisions/17.COM/7" TargetMode="External"/><Relationship Id="rId32" Type="http://schemas.openxmlformats.org/officeDocument/2006/relationships/hyperlink" Target="https://unesdoc.unesco.org/ark:/48223/pf0000388394_spa" TargetMode="External"/><Relationship Id="rId37" Type="http://schemas.openxmlformats.org/officeDocument/2006/relationships/hyperlink" Target="https://ich.unesco.org/doc/src/LHE-20-8.GA-Resolutions-ES.docx" TargetMode="External"/><Relationship Id="rId40" Type="http://schemas.openxmlformats.org/officeDocument/2006/relationships/hyperlink" Target="https://ich.unesco.org/en/d%C3%A9cisions/12.COM/17?dec=decisions&amp;ref_decision=12.COM" TargetMode="External"/><Relationship Id="rId45" Type="http://schemas.openxmlformats.org/officeDocument/2006/relationships/hyperlink" Target="https://ich.unesco.org/en/decisions/18.COM/6" TargetMode="External"/><Relationship Id="rId5" Type="http://schemas.openxmlformats.org/officeDocument/2006/relationships/webSettings" Target="webSettings.xml"/><Relationship Id="rId15" Type="http://schemas.openxmlformats.org/officeDocument/2006/relationships/hyperlink" Target="https://ich.unesco.org/doc/src/LHE-24-10.GA-6_SP.docx" TargetMode="External"/><Relationship Id="rId23" Type="http://schemas.openxmlformats.org/officeDocument/2006/relationships/hyperlink" Target="https://ich.unesco.org/en/decisions/16.COM/14" TargetMode="External"/><Relationship Id="rId28" Type="http://schemas.openxmlformats.org/officeDocument/2006/relationships/header" Target="header2.xml"/><Relationship Id="rId36" Type="http://schemas.openxmlformats.org/officeDocument/2006/relationships/hyperlink" Target="https://ich.unesco.org/doc/src/LHE-24-10.GA-9+Add_SP.docx" TargetMode="External"/><Relationship Id="rId49" Type="http://schemas.openxmlformats.org/officeDocument/2006/relationships/header" Target="header5.xml"/><Relationship Id="rId10" Type="http://schemas.openxmlformats.org/officeDocument/2006/relationships/hyperlink" Target="https://ich.unesco.org/doc/src/LHE-24-10.GA-4_SP.docx" TargetMode="External"/><Relationship Id="rId19" Type="http://schemas.openxmlformats.org/officeDocument/2006/relationships/hyperlink" Target="https://unesdoc.unesco.org/ark:/48223/pf0000388394_spa" TargetMode="External"/><Relationship Id="rId31" Type="http://schemas.openxmlformats.org/officeDocument/2006/relationships/hyperlink" Target="https://ich.unesco.org/doc/src/LHE-24-10.GA-INF.8_EN.docx" TargetMode="External"/><Relationship Id="rId44" Type="http://schemas.openxmlformats.org/officeDocument/2006/relationships/hyperlink" Target="https://ich.unesco.org/doc/src/LHE-22-9.GA-Resolutions-ES.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4-10.GA-3_Rev_SP.docx" TargetMode="External"/><Relationship Id="rId14" Type="http://schemas.openxmlformats.org/officeDocument/2006/relationships/hyperlink" Target="https://ich.unesco.org/en/decisions/18.COM/7.C" TargetMode="External"/><Relationship Id="rId22" Type="http://schemas.openxmlformats.org/officeDocument/2006/relationships/hyperlink" Target="https://ich.unesco.org/doc/src/LHE-22-9.GA-Resolutions-ES.docx" TargetMode="External"/><Relationship Id="rId27" Type="http://schemas.openxmlformats.org/officeDocument/2006/relationships/header" Target="header1.xml"/><Relationship Id="rId30" Type="http://schemas.openxmlformats.org/officeDocument/2006/relationships/hyperlink" Target="https://ich.unesco.org/doc/src/LHE-24-10.GA-8_SP.docx" TargetMode="External"/><Relationship Id="rId35" Type="http://schemas.openxmlformats.org/officeDocument/2006/relationships/hyperlink" Target="https://ich.unesco.org/en/decisions/18.COM/16" TargetMode="External"/><Relationship Id="rId43" Type="http://schemas.openxmlformats.org/officeDocument/2006/relationships/hyperlink" Target="https://ich.unesco.org/doc/src/LHE-24-10.GA-10_SP.docx" TargetMode="External"/><Relationship Id="rId48" Type="http://schemas.openxmlformats.org/officeDocument/2006/relationships/header" Target="header4.xml"/><Relationship Id="rId8" Type="http://schemas.openxmlformats.org/officeDocument/2006/relationships/hyperlink" Target="https://ich.unesco.org/doc/src/%20LHE-24-10.GA-2_SP.docx" TargetMode="Externa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85</TotalTime>
  <Pages>14</Pages>
  <Words>5626</Words>
  <Characters>30947</Characters>
  <Application>Microsoft Office Word</Application>
  <DocSecurity>0</DocSecurity>
  <Lines>257</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Figea, Clarence</cp:lastModifiedBy>
  <cp:revision>16</cp:revision>
  <cp:lastPrinted>2011-08-06T10:22:00Z</cp:lastPrinted>
  <dcterms:created xsi:type="dcterms:W3CDTF">2024-06-24T15:24:00Z</dcterms:created>
  <dcterms:modified xsi:type="dcterms:W3CDTF">2024-07-18T08:06:00Z</dcterms:modified>
</cp:coreProperties>
</file>